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70" w:rsidRPr="00AA2470" w:rsidRDefault="008F0EF3">
      <w:pP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39361172" wp14:editId="6A48185B">
                <wp:simplePos x="0" y="0"/>
                <wp:positionH relativeFrom="column">
                  <wp:posOffset>7931844</wp:posOffset>
                </wp:positionH>
                <wp:positionV relativeFrom="paragraph">
                  <wp:posOffset>-711835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0EF3" w:rsidRPr="008F0EF3" w:rsidRDefault="008F0EF3" w:rsidP="008F0EF3">
                            <w:pPr>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0EF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ANNEXURE “O”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361172" id="_x0000_t202" coordsize="21600,21600" o:spt="202" path="m,l,21600r21600,l21600,xe">
                <v:stroke joinstyle="miter"/>
                <v:path gradientshapeok="t" o:connecttype="rect"/>
              </v:shapetype>
              <v:shape id="Text Box 1" o:spid="_x0000_s1026" type="#_x0000_t202" style="position:absolute;margin-left:624.55pt;margin-top:-56.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" filled="f" stroked="f">
                <v:fill o:detectmouseclick="t"/>
                <v:textbox style="mso-fit-shape-to-text:t">
                  <w:txbxContent>
                    <w:p w:rsidR="008F0EF3" w:rsidRPr="008F0EF3" w:rsidRDefault="008F0EF3" w:rsidP="008F0EF3">
                      <w:pPr>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0EF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ANNEXURE “O”</w:t>
                      </w:r>
                    </w:p>
                  </w:txbxContent>
                </v:textbox>
              </v:shape>
            </w:pict>
          </mc:Fallback>
        </mc:AlternateContent>
      </w:r>
      <w:r w:rsidR="00AA2470" w:rsidRPr="00AA2470">
        <w:rPr>
          <w:rFonts w:ascii="Arial" w:hAnsi="Arial" w:cs="Arial"/>
          <w:b/>
          <w:sz w:val="24"/>
          <w:szCs w:val="24"/>
        </w:rPr>
        <w:t>BEPP PROCESS</w:t>
      </w:r>
    </w:p>
    <w:tbl>
      <w:tblPr>
        <w:tblW w:w="14601" w:type="dxa"/>
        <w:tblLook w:val="04A0" w:firstRow="1" w:lastRow="0" w:firstColumn="1" w:lastColumn="0" w:noHBand="0" w:noVBand="1"/>
      </w:tblPr>
      <w:tblGrid>
        <w:gridCol w:w="1580"/>
        <w:gridCol w:w="2673"/>
        <w:gridCol w:w="1500"/>
        <w:gridCol w:w="1420"/>
        <w:gridCol w:w="1440"/>
        <w:gridCol w:w="1340"/>
        <w:gridCol w:w="272"/>
        <w:gridCol w:w="2249"/>
        <w:gridCol w:w="2127"/>
      </w:tblGrid>
      <w:tr w:rsidR="00AA2470" w:rsidRPr="00AA2470" w:rsidTr="00AA2470">
        <w:trPr>
          <w:trHeight w:val="240"/>
        </w:trPr>
        <w:tc>
          <w:tcPr>
            <w:tcW w:w="1580"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2673"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tin</w:t>
            </w:r>
          </w:p>
        </w:tc>
        <w:tc>
          <w:tcPr>
            <w:tcW w:w="1420" w:type="dxa"/>
            <w:tcBorders>
              <w:top w:val="single" w:sz="4" w:space="0" w:color="auto"/>
              <w:left w:val="nil"/>
              <w:bottom w:val="single" w:sz="4" w:space="0" w:color="auto"/>
              <w:right w:val="single" w:sz="4" w:space="0" w:color="auto"/>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silver</w:t>
            </w:r>
          </w:p>
        </w:tc>
        <w:tc>
          <w:tcPr>
            <w:tcW w:w="1440" w:type="dxa"/>
            <w:tcBorders>
              <w:top w:val="single" w:sz="4" w:space="0" w:color="auto"/>
              <w:left w:val="nil"/>
              <w:bottom w:val="single" w:sz="4" w:space="0" w:color="auto"/>
              <w:right w:val="single" w:sz="4" w:space="0" w:color="auto"/>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gold</w:t>
            </w:r>
          </w:p>
        </w:tc>
        <w:tc>
          <w:tcPr>
            <w:tcW w:w="1340" w:type="dxa"/>
            <w:tcBorders>
              <w:top w:val="single" w:sz="4" w:space="0" w:color="auto"/>
              <w:left w:val="nil"/>
              <w:bottom w:val="single" w:sz="4" w:space="0" w:color="auto"/>
              <w:right w:val="single" w:sz="4" w:space="0" w:color="auto"/>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platinum</w:t>
            </w:r>
          </w:p>
        </w:tc>
        <w:tc>
          <w:tcPr>
            <w:tcW w:w="272" w:type="dxa"/>
            <w:tcBorders>
              <w:top w:val="nil"/>
              <w:left w:val="nil"/>
              <w:bottom w:val="nil"/>
              <w:right w:val="nil"/>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p>
        </w:tc>
        <w:tc>
          <w:tcPr>
            <w:tcW w:w="2249"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2127"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r>
      <w:tr w:rsidR="00AA2470" w:rsidRPr="00AA2470" w:rsidTr="00AA2470">
        <w:trPr>
          <w:trHeight w:val="240"/>
        </w:trPr>
        <w:tc>
          <w:tcPr>
            <w:tcW w:w="1580"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2673"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1500" w:type="dxa"/>
            <w:tcBorders>
              <w:top w:val="nil"/>
              <w:left w:val="single" w:sz="4" w:space="0" w:color="auto"/>
              <w:bottom w:val="single" w:sz="4" w:space="0" w:color="auto"/>
              <w:right w:val="single" w:sz="4" w:space="0" w:color="auto"/>
            </w:tcBorders>
            <w:shd w:val="clear" w:color="000000" w:fill="DDD9C4"/>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1420" w:type="dxa"/>
            <w:tcBorders>
              <w:top w:val="nil"/>
              <w:left w:val="nil"/>
              <w:bottom w:val="single" w:sz="4" w:space="0" w:color="auto"/>
              <w:right w:val="single" w:sz="4" w:space="0" w:color="auto"/>
            </w:tcBorders>
            <w:shd w:val="clear" w:color="000000" w:fill="DDDDDD"/>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1440" w:type="dxa"/>
            <w:tcBorders>
              <w:top w:val="nil"/>
              <w:left w:val="nil"/>
              <w:bottom w:val="single" w:sz="4" w:space="0" w:color="auto"/>
              <w:right w:val="single" w:sz="4" w:space="0" w:color="auto"/>
            </w:tcBorders>
            <w:shd w:val="clear" w:color="000000" w:fill="FFFF00"/>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1340" w:type="dxa"/>
            <w:tcBorders>
              <w:top w:val="nil"/>
              <w:left w:val="nil"/>
              <w:bottom w:val="single" w:sz="4" w:space="0" w:color="auto"/>
              <w:right w:val="single" w:sz="4" w:space="0" w:color="auto"/>
            </w:tcBorders>
            <w:shd w:val="clear" w:color="000000" w:fill="808080"/>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72"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p>
        </w:tc>
        <w:tc>
          <w:tcPr>
            <w:tcW w:w="2249"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2127"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r>
      <w:tr w:rsidR="00AA2470" w:rsidRPr="00AA2470" w:rsidTr="00AA2470">
        <w:trPr>
          <w:trHeight w:val="495"/>
        </w:trPr>
        <w:tc>
          <w:tcPr>
            <w:tcW w:w="1580"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2673"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1500" w:type="dxa"/>
            <w:tcBorders>
              <w:top w:val="nil"/>
              <w:left w:val="single" w:sz="4" w:space="0" w:color="auto"/>
              <w:bottom w:val="single" w:sz="4" w:space="0" w:color="auto"/>
              <w:right w:val="single" w:sz="4" w:space="0" w:color="auto"/>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Zero </w:t>
            </w:r>
            <w:proofErr w:type="spellStart"/>
            <w:r w:rsidRPr="00AA2470">
              <w:rPr>
                <w:rFonts w:ascii="Arial" w:eastAsia="Times New Roman" w:hAnsi="Arial" w:cs="Arial"/>
                <w:color w:val="000000"/>
                <w:sz w:val="18"/>
                <w:szCs w:val="18"/>
                <w:lang w:eastAsia="en-ZA"/>
              </w:rPr>
              <w:t>Fulfillment</w:t>
            </w:r>
            <w:proofErr w:type="spellEnd"/>
          </w:p>
        </w:tc>
        <w:tc>
          <w:tcPr>
            <w:tcW w:w="1420" w:type="dxa"/>
            <w:tcBorders>
              <w:top w:val="nil"/>
              <w:left w:val="nil"/>
              <w:bottom w:val="nil"/>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Partial </w:t>
            </w:r>
            <w:proofErr w:type="spellStart"/>
            <w:r w:rsidRPr="00AA2470">
              <w:rPr>
                <w:rFonts w:ascii="Arial" w:eastAsia="Times New Roman" w:hAnsi="Arial" w:cs="Arial"/>
                <w:color w:val="000000"/>
                <w:sz w:val="18"/>
                <w:szCs w:val="18"/>
                <w:lang w:eastAsia="en-ZA"/>
              </w:rPr>
              <w:t>Fulfillment</w:t>
            </w:r>
            <w:proofErr w:type="spellEnd"/>
          </w:p>
        </w:tc>
        <w:tc>
          <w:tcPr>
            <w:tcW w:w="1440" w:type="dxa"/>
            <w:tcBorders>
              <w:top w:val="nil"/>
              <w:left w:val="nil"/>
              <w:bottom w:val="nil"/>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Fulfilled</w:t>
            </w:r>
          </w:p>
        </w:tc>
        <w:tc>
          <w:tcPr>
            <w:tcW w:w="1340" w:type="dxa"/>
            <w:tcBorders>
              <w:top w:val="nil"/>
              <w:left w:val="nil"/>
              <w:bottom w:val="nil"/>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Exemplary</w:t>
            </w:r>
          </w:p>
        </w:tc>
        <w:tc>
          <w:tcPr>
            <w:tcW w:w="272" w:type="dxa"/>
            <w:tcBorders>
              <w:top w:val="nil"/>
              <w:left w:val="nil"/>
              <w:bottom w:val="nil"/>
              <w:right w:val="nil"/>
            </w:tcBorders>
            <w:shd w:val="clear" w:color="auto" w:fill="auto"/>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p>
        </w:tc>
        <w:tc>
          <w:tcPr>
            <w:tcW w:w="2249"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c>
          <w:tcPr>
            <w:tcW w:w="2127"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sz w:val="18"/>
                <w:szCs w:val="18"/>
                <w:lang w:eastAsia="en-ZA"/>
              </w:rPr>
            </w:pPr>
          </w:p>
        </w:tc>
      </w:tr>
      <w:tr w:rsidR="00AA2470" w:rsidRPr="00AA2470" w:rsidTr="00AA2470">
        <w:trPr>
          <w:trHeight w:val="255"/>
        </w:trPr>
        <w:tc>
          <w:tcPr>
            <w:tcW w:w="1580" w:type="dxa"/>
            <w:tcBorders>
              <w:top w:val="single" w:sz="8" w:space="0" w:color="auto"/>
              <w:left w:val="single" w:sz="8" w:space="0" w:color="auto"/>
              <w:bottom w:val="single" w:sz="8" w:space="0" w:color="auto"/>
              <w:right w:val="single" w:sz="4" w:space="0" w:color="auto"/>
            </w:tcBorders>
            <w:shd w:val="clear" w:color="000000" w:fill="DAEEF3"/>
            <w:noWrap/>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BEPP Component</w:t>
            </w:r>
          </w:p>
        </w:tc>
        <w:tc>
          <w:tcPr>
            <w:tcW w:w="2673" w:type="dxa"/>
            <w:tcBorders>
              <w:top w:val="single" w:sz="8" w:space="0" w:color="auto"/>
              <w:left w:val="nil"/>
              <w:bottom w:val="single" w:sz="8" w:space="0" w:color="auto"/>
              <w:right w:val="single" w:sz="4" w:space="0" w:color="auto"/>
            </w:tcBorders>
            <w:shd w:val="clear" w:color="000000" w:fill="DAEEF3"/>
            <w:noWrap/>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2018/19 - 2020/21 Standards</w:t>
            </w:r>
          </w:p>
        </w:tc>
        <w:tc>
          <w:tcPr>
            <w:tcW w:w="1500" w:type="dxa"/>
            <w:tcBorders>
              <w:top w:val="single" w:sz="8" w:space="0" w:color="auto"/>
              <w:left w:val="nil"/>
              <w:bottom w:val="nil"/>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Level 0</w:t>
            </w:r>
          </w:p>
        </w:tc>
        <w:tc>
          <w:tcPr>
            <w:tcW w:w="1420" w:type="dxa"/>
            <w:tcBorders>
              <w:top w:val="single" w:sz="8" w:space="0" w:color="auto"/>
              <w:left w:val="nil"/>
              <w:bottom w:val="nil"/>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Level 1</w:t>
            </w:r>
          </w:p>
        </w:tc>
        <w:tc>
          <w:tcPr>
            <w:tcW w:w="1440" w:type="dxa"/>
            <w:tcBorders>
              <w:top w:val="single" w:sz="8" w:space="0" w:color="auto"/>
              <w:left w:val="nil"/>
              <w:bottom w:val="nil"/>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Level 2</w:t>
            </w:r>
          </w:p>
        </w:tc>
        <w:tc>
          <w:tcPr>
            <w:tcW w:w="1340" w:type="dxa"/>
            <w:tcBorders>
              <w:top w:val="single" w:sz="8" w:space="0" w:color="auto"/>
              <w:left w:val="nil"/>
              <w:bottom w:val="nil"/>
              <w:right w:val="nil"/>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Level 3</w:t>
            </w:r>
          </w:p>
        </w:tc>
        <w:tc>
          <w:tcPr>
            <w:tcW w:w="272" w:type="dxa"/>
            <w:vMerge w:val="restart"/>
            <w:tcBorders>
              <w:top w:val="nil"/>
              <w:left w:val="single" w:sz="4" w:space="0" w:color="auto"/>
              <w:bottom w:val="single" w:sz="4" w:space="0" w:color="000000"/>
              <w:right w:val="single" w:sz="4" w:space="0" w:color="auto"/>
            </w:tcBorders>
            <w:shd w:val="clear" w:color="auto" w:fill="auto"/>
            <w:vAlign w:val="bottom"/>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Qualitative Comments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Support Requirements</w:t>
            </w:r>
          </w:p>
        </w:tc>
      </w:tr>
      <w:tr w:rsidR="00AA2470" w:rsidRPr="00AA2470" w:rsidTr="00AA2470">
        <w:trPr>
          <w:trHeight w:val="503"/>
        </w:trPr>
        <w:tc>
          <w:tcPr>
            <w:tcW w:w="4253" w:type="dxa"/>
            <w:gridSpan w:val="2"/>
            <w:tcBorders>
              <w:top w:val="single" w:sz="8" w:space="0" w:color="auto"/>
              <w:left w:val="nil"/>
              <w:bottom w:val="single" w:sz="4" w:space="0" w:color="auto"/>
              <w:right w:val="nil"/>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Score = 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Score =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Score = 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A2470" w:rsidRPr="00AA2470" w:rsidRDefault="00AA2470" w:rsidP="00AA2470">
            <w:pPr>
              <w:spacing w:after="0" w:line="240" w:lineRule="auto"/>
              <w:jc w:val="center"/>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Score = 3</w:t>
            </w:r>
          </w:p>
        </w:tc>
        <w:tc>
          <w:tcPr>
            <w:tcW w:w="272" w:type="dxa"/>
            <w:vMerge/>
            <w:tcBorders>
              <w:top w:val="nil"/>
              <w:left w:val="single" w:sz="4" w:space="0" w:color="auto"/>
              <w:bottom w:val="single" w:sz="4" w:space="0" w:color="000000"/>
              <w:right w:val="single" w:sz="4" w:space="0" w:color="auto"/>
            </w:tcBorders>
            <w:vAlign w:val="center"/>
            <w:hideMark/>
          </w:tcPr>
          <w:p w:rsidR="00AA2470" w:rsidRPr="00AA2470" w:rsidRDefault="00AA2470" w:rsidP="00AA2470">
            <w:pPr>
              <w:spacing w:after="0" w:line="240" w:lineRule="auto"/>
              <w:rPr>
                <w:rFonts w:ascii="Arial" w:eastAsia="Times New Roman" w:hAnsi="Arial" w:cs="Arial"/>
                <w:color w:val="000000"/>
                <w:sz w:val="18"/>
                <w:szCs w:val="18"/>
                <w:lang w:eastAsia="en-ZA"/>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p>
        </w:tc>
      </w:tr>
      <w:tr w:rsidR="00AA2470" w:rsidRPr="00AA2470" w:rsidTr="00AA2470">
        <w:trPr>
          <w:trHeight w:val="300"/>
        </w:trPr>
        <w:tc>
          <w:tcPr>
            <w:tcW w:w="10225" w:type="dxa"/>
            <w:gridSpan w:val="7"/>
            <w:tcBorders>
              <w:top w:val="single" w:sz="4" w:space="0" w:color="auto"/>
              <w:left w:val="single" w:sz="4" w:space="0" w:color="auto"/>
              <w:bottom w:val="single" w:sz="4" w:space="0" w:color="auto"/>
              <w:right w:val="single" w:sz="4" w:space="0" w:color="000000"/>
            </w:tcBorders>
            <w:shd w:val="clear" w:color="000000" w:fill="DAEEF3"/>
            <w:noWrap/>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Process</w:t>
            </w:r>
          </w:p>
        </w:tc>
        <w:tc>
          <w:tcPr>
            <w:tcW w:w="2249" w:type="dxa"/>
            <w:tcBorders>
              <w:top w:val="single" w:sz="4" w:space="0" w:color="auto"/>
              <w:left w:val="single" w:sz="4" w:space="0" w:color="auto"/>
              <w:bottom w:val="single" w:sz="4" w:space="0" w:color="auto"/>
              <w:right w:val="single" w:sz="4" w:space="0" w:color="auto"/>
            </w:tcBorders>
            <w:vAlign w:val="center"/>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A2470" w:rsidRPr="00AA2470" w:rsidRDefault="00AA2470" w:rsidP="00AA2470">
            <w:pPr>
              <w:spacing w:after="0" w:line="240" w:lineRule="auto"/>
              <w:rPr>
                <w:rFonts w:ascii="Arial" w:eastAsia="Times New Roman" w:hAnsi="Arial" w:cs="Arial"/>
                <w:b/>
                <w:bCs/>
                <w:color w:val="000000"/>
                <w:sz w:val="18"/>
                <w:szCs w:val="18"/>
                <w:lang w:eastAsia="en-ZA"/>
              </w:rPr>
            </w:pPr>
          </w:p>
        </w:tc>
      </w:tr>
      <w:tr w:rsidR="00AA2470" w:rsidRPr="00AA2470" w:rsidTr="00AA2470">
        <w:trPr>
          <w:trHeight w:val="1320"/>
        </w:trPr>
        <w:tc>
          <w:tcPr>
            <w:tcW w:w="1580" w:type="dxa"/>
            <w:vMerge w:val="restart"/>
            <w:tcBorders>
              <w:top w:val="nil"/>
              <w:left w:val="single" w:sz="4" w:space="0" w:color="auto"/>
              <w:bottom w:val="single" w:sz="4" w:space="0" w:color="000000"/>
              <w:right w:val="single" w:sz="4" w:space="0" w:color="auto"/>
            </w:tcBorders>
            <w:shd w:val="clear" w:color="000000" w:fill="DAEEF3"/>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BEPP preparation</w:t>
            </w:r>
          </w:p>
        </w:tc>
        <w:tc>
          <w:tcPr>
            <w:tcW w:w="2673"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b/>
                <w:bCs/>
                <w:color w:val="000000"/>
                <w:sz w:val="18"/>
                <w:szCs w:val="18"/>
                <w:lang w:eastAsia="en-ZA"/>
              </w:rPr>
              <w:t xml:space="preserve">Internal to the Metro: </w:t>
            </w:r>
            <w:r w:rsidRPr="00AA2470">
              <w:rPr>
                <w:rFonts w:ascii="Arial" w:eastAsia="Times New Roman" w:hAnsi="Arial" w:cs="Arial"/>
                <w:color w:val="000000"/>
                <w:sz w:val="18"/>
                <w:szCs w:val="18"/>
                <w:lang w:eastAsia="en-ZA"/>
              </w:rPr>
              <w:t xml:space="preserve">All necessary functional units in Metro collaborated extensively on the BEPP e.g. Finance, Spatial Planning, IDP, Economic Development, Public Transport, Human Settlements, Governance and Administration. </w:t>
            </w:r>
          </w:p>
        </w:tc>
        <w:tc>
          <w:tcPr>
            <w:tcW w:w="150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No evidence of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Tangible evidence of partial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Tangible and complete evidence of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L2 plus exceeds standard</w:t>
            </w:r>
          </w:p>
        </w:tc>
        <w:tc>
          <w:tcPr>
            <w:tcW w:w="272" w:type="dxa"/>
            <w:tcBorders>
              <w:top w:val="nil"/>
              <w:left w:val="single" w:sz="4" w:space="0" w:color="auto"/>
              <w:bottom w:val="single" w:sz="4" w:space="0" w:color="auto"/>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249" w:type="dxa"/>
            <w:tcBorders>
              <w:top w:val="nil"/>
              <w:left w:val="nil"/>
              <w:bottom w:val="single" w:sz="4" w:space="0" w:color="auto"/>
              <w:right w:val="single" w:sz="4" w:space="0" w:color="auto"/>
            </w:tcBorders>
            <w:shd w:val="clear" w:color="auto" w:fill="auto"/>
            <w:hideMark/>
          </w:tcPr>
          <w:p w:rsidR="00AA2470" w:rsidRDefault="008344AF" w:rsidP="00AA247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Gold </w:t>
            </w:r>
          </w:p>
          <w:p w:rsidR="008344AF" w:rsidRPr="008344AF" w:rsidRDefault="008344AF" w:rsidP="00311B2E">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The BEPP describes – in a number of places – the institutional structures in place for effective collaboration and transversal interaction. Section A covers this in detail under </w:t>
            </w:r>
            <w:r w:rsidRPr="006F2866">
              <w:rPr>
                <w:rFonts w:ascii="Arial" w:eastAsia="Times New Roman" w:hAnsi="Arial" w:cs="Arial"/>
                <w:sz w:val="18"/>
                <w:szCs w:val="18"/>
                <w:lang w:eastAsia="en-ZA"/>
              </w:rPr>
              <w:t xml:space="preserve">1.2.5.  </w:t>
            </w:r>
          </w:p>
        </w:tc>
        <w:tc>
          <w:tcPr>
            <w:tcW w:w="2127" w:type="dxa"/>
            <w:tcBorders>
              <w:top w:val="nil"/>
              <w:left w:val="nil"/>
              <w:bottom w:val="single" w:sz="4" w:space="0" w:color="auto"/>
              <w:right w:val="single" w:sz="4" w:space="0" w:color="auto"/>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r>
      <w:tr w:rsidR="00AA2470" w:rsidRPr="00AA2470" w:rsidTr="00AA2470">
        <w:trPr>
          <w:trHeight w:val="1009"/>
        </w:trPr>
        <w:tc>
          <w:tcPr>
            <w:tcW w:w="1580" w:type="dxa"/>
            <w:vMerge/>
            <w:tcBorders>
              <w:top w:val="nil"/>
              <w:left w:val="single" w:sz="4" w:space="0" w:color="auto"/>
              <w:bottom w:val="single" w:sz="4" w:space="0" w:color="000000"/>
              <w:right w:val="single" w:sz="4" w:space="0" w:color="auto"/>
            </w:tcBorders>
            <w:vAlign w:val="center"/>
            <w:hideMark/>
          </w:tcPr>
          <w:p w:rsidR="00AA2470" w:rsidRPr="00AA2470" w:rsidRDefault="00AA2470" w:rsidP="00AA2470">
            <w:pPr>
              <w:spacing w:after="0" w:line="240" w:lineRule="auto"/>
              <w:rPr>
                <w:rFonts w:ascii="Arial" w:eastAsia="Times New Roman" w:hAnsi="Arial" w:cs="Arial"/>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b/>
                <w:bCs/>
                <w:color w:val="000000"/>
                <w:sz w:val="18"/>
                <w:szCs w:val="18"/>
                <w:lang w:eastAsia="en-ZA"/>
              </w:rPr>
              <w:t xml:space="preserve">Public sector inclusiveness: </w:t>
            </w:r>
            <w:r w:rsidRPr="00AA2470">
              <w:rPr>
                <w:rFonts w:ascii="Arial" w:eastAsia="Times New Roman" w:hAnsi="Arial" w:cs="Arial"/>
                <w:color w:val="000000"/>
                <w:sz w:val="18"/>
                <w:szCs w:val="18"/>
                <w:lang w:eastAsia="en-ZA"/>
              </w:rPr>
              <w:t>Relevant SOEs and national and provincial sector departments were meaningfully involved in the preparation of the BEPP</w:t>
            </w:r>
          </w:p>
        </w:tc>
        <w:tc>
          <w:tcPr>
            <w:tcW w:w="150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No evidence of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Tangible evidence of partial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Tangible and complete evidence of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L2 plus exceeds standard</w:t>
            </w:r>
          </w:p>
        </w:tc>
        <w:tc>
          <w:tcPr>
            <w:tcW w:w="272" w:type="dxa"/>
            <w:tcBorders>
              <w:top w:val="nil"/>
              <w:left w:val="single" w:sz="4" w:space="0" w:color="auto"/>
              <w:bottom w:val="single" w:sz="4" w:space="0" w:color="auto"/>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249" w:type="dxa"/>
            <w:tcBorders>
              <w:top w:val="nil"/>
              <w:left w:val="nil"/>
              <w:bottom w:val="single" w:sz="4" w:space="0" w:color="auto"/>
              <w:right w:val="single" w:sz="4" w:space="0" w:color="auto"/>
            </w:tcBorders>
            <w:shd w:val="clear" w:color="auto" w:fill="auto"/>
            <w:hideMark/>
          </w:tcPr>
          <w:p w:rsidR="00AA2470" w:rsidRDefault="008344AF" w:rsidP="00AA247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Silver</w:t>
            </w:r>
            <w:r w:rsidR="00CF0FCE">
              <w:rPr>
                <w:rFonts w:ascii="Arial" w:eastAsia="Times New Roman" w:hAnsi="Arial" w:cs="Arial"/>
                <w:sz w:val="18"/>
                <w:szCs w:val="18"/>
                <w:lang w:eastAsia="en-ZA"/>
              </w:rPr>
              <w:t>/ Gold</w:t>
            </w:r>
          </w:p>
          <w:p w:rsidR="008344AF" w:rsidRPr="008344AF" w:rsidRDefault="008344AF" w:rsidP="00D71C06">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 xml:space="preserve">Huge strides have been made in the last financial year with regard to </w:t>
            </w:r>
            <w:r w:rsidR="00265757">
              <w:rPr>
                <w:rFonts w:ascii="Arial" w:eastAsia="Times New Roman" w:hAnsi="Arial" w:cs="Arial"/>
                <w:sz w:val="18"/>
                <w:szCs w:val="18"/>
                <w:lang w:eastAsia="en-ZA"/>
              </w:rPr>
              <w:t>interactions</w:t>
            </w:r>
            <w:r>
              <w:rPr>
                <w:rFonts w:ascii="Arial" w:eastAsia="Times New Roman" w:hAnsi="Arial" w:cs="Arial"/>
                <w:sz w:val="18"/>
                <w:szCs w:val="18"/>
                <w:lang w:eastAsia="en-ZA"/>
              </w:rPr>
              <w:t xml:space="preserve"> with SOE’s and Government Departments</w:t>
            </w:r>
            <w:r w:rsidR="00265757">
              <w:rPr>
                <w:rFonts w:ascii="Arial" w:eastAsia="Times New Roman" w:hAnsi="Arial" w:cs="Arial"/>
                <w:sz w:val="18"/>
                <w:szCs w:val="18"/>
                <w:lang w:eastAsia="en-ZA"/>
              </w:rPr>
              <w:t xml:space="preserve">. Processes are in place for the coming year to enhance the information coming from these engagements. This is covered, inter alia, under section </w:t>
            </w:r>
            <w:r w:rsidR="00D71C06">
              <w:rPr>
                <w:rFonts w:ascii="Arial" w:eastAsia="Times New Roman" w:hAnsi="Arial" w:cs="Arial"/>
                <w:sz w:val="18"/>
                <w:szCs w:val="18"/>
                <w:lang w:eastAsia="en-ZA"/>
              </w:rPr>
              <w:t>3.3.2</w:t>
            </w:r>
            <w:r w:rsidR="00265757" w:rsidRPr="00311B2E">
              <w:rPr>
                <w:rFonts w:ascii="Arial" w:eastAsia="Times New Roman" w:hAnsi="Arial" w:cs="Arial"/>
                <w:color w:val="FF0000"/>
                <w:sz w:val="18"/>
                <w:szCs w:val="18"/>
                <w:lang w:eastAsia="en-ZA"/>
              </w:rPr>
              <w:t xml:space="preserve"> </w:t>
            </w:r>
            <w:r w:rsidR="00265757">
              <w:rPr>
                <w:rFonts w:ascii="Arial" w:eastAsia="Times New Roman" w:hAnsi="Arial" w:cs="Arial"/>
                <w:sz w:val="18"/>
                <w:szCs w:val="18"/>
                <w:lang w:eastAsia="en-ZA"/>
              </w:rPr>
              <w:t>of the BEPP.</w:t>
            </w:r>
          </w:p>
        </w:tc>
        <w:tc>
          <w:tcPr>
            <w:tcW w:w="2127" w:type="dxa"/>
            <w:tcBorders>
              <w:top w:val="nil"/>
              <w:left w:val="nil"/>
              <w:bottom w:val="single" w:sz="4" w:space="0" w:color="auto"/>
              <w:right w:val="single" w:sz="4" w:space="0" w:color="auto"/>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r>
      <w:tr w:rsidR="00AA2470" w:rsidRPr="00AA2470" w:rsidTr="00AA2470">
        <w:trPr>
          <w:trHeight w:val="960"/>
        </w:trPr>
        <w:tc>
          <w:tcPr>
            <w:tcW w:w="1580" w:type="dxa"/>
            <w:vMerge/>
            <w:tcBorders>
              <w:top w:val="nil"/>
              <w:left w:val="single" w:sz="4" w:space="0" w:color="auto"/>
              <w:bottom w:val="single" w:sz="4" w:space="0" w:color="000000"/>
              <w:right w:val="single" w:sz="4" w:space="0" w:color="auto"/>
            </w:tcBorders>
            <w:vAlign w:val="center"/>
            <w:hideMark/>
          </w:tcPr>
          <w:p w:rsidR="00AA2470" w:rsidRPr="00AA2470" w:rsidRDefault="00AA2470" w:rsidP="00AA2470">
            <w:pPr>
              <w:spacing w:after="0" w:line="240" w:lineRule="auto"/>
              <w:rPr>
                <w:rFonts w:ascii="Arial" w:eastAsia="Times New Roman" w:hAnsi="Arial" w:cs="Arial"/>
                <w:color w:val="000000"/>
                <w:sz w:val="18"/>
                <w:szCs w:val="18"/>
                <w:lang w:eastAsia="en-ZA"/>
              </w:rPr>
            </w:pPr>
          </w:p>
        </w:tc>
        <w:tc>
          <w:tcPr>
            <w:tcW w:w="2673" w:type="dxa"/>
            <w:tcBorders>
              <w:top w:val="nil"/>
              <w:left w:val="nil"/>
              <w:bottom w:val="nil"/>
              <w:right w:val="single" w:sz="4" w:space="0" w:color="auto"/>
            </w:tcBorders>
            <w:shd w:val="clear" w:color="auto" w:fill="auto"/>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b/>
                <w:bCs/>
                <w:color w:val="000000"/>
                <w:sz w:val="18"/>
                <w:szCs w:val="18"/>
                <w:lang w:eastAsia="en-ZA"/>
              </w:rPr>
              <w:t>Process compliance:</w:t>
            </w:r>
            <w:r w:rsidRPr="00AA2470">
              <w:rPr>
                <w:rFonts w:ascii="Arial" w:eastAsia="Times New Roman" w:hAnsi="Arial" w:cs="Arial"/>
                <w:color w:val="000000"/>
                <w:sz w:val="18"/>
                <w:szCs w:val="18"/>
                <w:lang w:eastAsia="en-ZA"/>
              </w:rPr>
              <w:t xml:space="preserve"> The deadlines for all BEPP requirements and submissions were met</w:t>
            </w:r>
          </w:p>
        </w:tc>
        <w:tc>
          <w:tcPr>
            <w:tcW w:w="150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No evidence of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Tangible evidence of partial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xml:space="preserve">Tangible and complete evidence of </w:t>
            </w:r>
            <w:proofErr w:type="spellStart"/>
            <w:r w:rsidRPr="00AA2470">
              <w:rPr>
                <w:rFonts w:ascii="Arial" w:eastAsia="Times New Roman" w:hAnsi="Arial" w:cs="Arial"/>
                <w:color w:val="000000"/>
                <w:sz w:val="18"/>
                <w:szCs w:val="18"/>
                <w:lang w:eastAsia="en-ZA"/>
              </w:rPr>
              <w:t>fulfillment</w:t>
            </w:r>
            <w:proofErr w:type="spellEnd"/>
            <w:r w:rsidRPr="00AA2470">
              <w:rPr>
                <w:rFonts w:ascii="Arial" w:eastAsia="Times New Roman" w:hAnsi="Arial" w:cs="Arial"/>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L2 plus exceeds standard</w:t>
            </w:r>
          </w:p>
        </w:tc>
        <w:tc>
          <w:tcPr>
            <w:tcW w:w="272" w:type="dxa"/>
            <w:tcBorders>
              <w:top w:val="nil"/>
              <w:left w:val="single" w:sz="4" w:space="0" w:color="auto"/>
              <w:bottom w:val="single" w:sz="4" w:space="0" w:color="auto"/>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249" w:type="dxa"/>
            <w:tcBorders>
              <w:top w:val="nil"/>
              <w:left w:val="nil"/>
              <w:bottom w:val="single" w:sz="4" w:space="0" w:color="auto"/>
              <w:right w:val="single" w:sz="4" w:space="0" w:color="auto"/>
            </w:tcBorders>
            <w:shd w:val="clear" w:color="auto" w:fill="auto"/>
            <w:noWrap/>
            <w:hideMark/>
          </w:tcPr>
          <w:p w:rsidR="00265757" w:rsidRDefault="00265757" w:rsidP="00AA2470">
            <w:pPr>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t>Gold</w:t>
            </w:r>
          </w:p>
          <w:p w:rsidR="00AA2470" w:rsidRPr="00AA2470" w:rsidRDefault="00265757" w:rsidP="00AA2470">
            <w:pPr>
              <w:spacing w:after="0" w:line="240" w:lineRule="auto"/>
              <w:rPr>
                <w:rFonts w:ascii="Arial" w:eastAsia="Times New Roman" w:hAnsi="Arial" w:cs="Arial"/>
                <w:color w:val="FF0000"/>
                <w:sz w:val="18"/>
                <w:szCs w:val="18"/>
                <w:lang w:eastAsia="en-ZA"/>
              </w:rPr>
            </w:pPr>
            <w:r w:rsidRPr="00265757">
              <w:rPr>
                <w:rFonts w:ascii="Arial" w:eastAsia="Times New Roman" w:hAnsi="Arial" w:cs="Arial"/>
                <w:sz w:val="18"/>
                <w:szCs w:val="18"/>
                <w:lang w:eastAsia="en-ZA"/>
              </w:rPr>
              <w:t xml:space="preserve">All deadlines </w:t>
            </w:r>
            <w:r>
              <w:rPr>
                <w:rFonts w:ascii="Arial" w:eastAsia="Times New Roman" w:hAnsi="Arial" w:cs="Arial"/>
                <w:sz w:val="18"/>
                <w:szCs w:val="18"/>
                <w:lang w:eastAsia="en-ZA"/>
              </w:rPr>
              <w:t xml:space="preserve">and requirements </w:t>
            </w:r>
            <w:r w:rsidRPr="00265757">
              <w:rPr>
                <w:rFonts w:ascii="Arial" w:eastAsia="Times New Roman" w:hAnsi="Arial" w:cs="Arial"/>
                <w:sz w:val="18"/>
                <w:szCs w:val="18"/>
                <w:lang w:eastAsia="en-ZA"/>
              </w:rPr>
              <w:t>have been met</w:t>
            </w:r>
          </w:p>
        </w:tc>
        <w:tc>
          <w:tcPr>
            <w:tcW w:w="2127" w:type="dxa"/>
            <w:tcBorders>
              <w:top w:val="nil"/>
              <w:left w:val="nil"/>
              <w:bottom w:val="single" w:sz="4" w:space="0" w:color="auto"/>
              <w:right w:val="single" w:sz="4" w:space="0" w:color="auto"/>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r>
      <w:tr w:rsidR="00AA2470" w:rsidRPr="00AA2470" w:rsidTr="00AA2470">
        <w:trPr>
          <w:trHeight w:val="240"/>
        </w:trPr>
        <w:tc>
          <w:tcPr>
            <w:tcW w:w="1580" w:type="dxa"/>
            <w:vMerge/>
            <w:tcBorders>
              <w:top w:val="nil"/>
              <w:left w:val="single" w:sz="4" w:space="0" w:color="auto"/>
              <w:bottom w:val="single" w:sz="4" w:space="0" w:color="000000"/>
              <w:right w:val="single" w:sz="4" w:space="0" w:color="auto"/>
            </w:tcBorders>
            <w:vAlign w:val="center"/>
            <w:hideMark/>
          </w:tcPr>
          <w:p w:rsidR="00AA2470" w:rsidRPr="00AA2470" w:rsidRDefault="00AA2470" w:rsidP="00AA2470">
            <w:pPr>
              <w:spacing w:after="0" w:line="240" w:lineRule="auto"/>
              <w:rPr>
                <w:rFonts w:ascii="Arial" w:eastAsia="Times New Roman" w:hAnsi="Arial" w:cs="Arial"/>
                <w:color w:val="000000"/>
                <w:sz w:val="18"/>
                <w:szCs w:val="18"/>
                <w:lang w:eastAsia="en-ZA"/>
              </w:rPr>
            </w:pPr>
          </w:p>
        </w:tc>
        <w:tc>
          <w:tcPr>
            <w:tcW w:w="8373" w:type="dxa"/>
            <w:gridSpan w:val="5"/>
            <w:tcBorders>
              <w:top w:val="single" w:sz="4" w:space="0" w:color="auto"/>
              <w:left w:val="nil"/>
              <w:bottom w:val="single" w:sz="4" w:space="0" w:color="auto"/>
              <w:right w:val="single" w:sz="4" w:space="0" w:color="000000"/>
            </w:tcBorders>
            <w:shd w:val="clear" w:color="000000" w:fill="DAEEF3"/>
            <w:hideMark/>
          </w:tcPr>
          <w:p w:rsidR="00AA2470" w:rsidRPr="00AA2470" w:rsidRDefault="00AA2470" w:rsidP="00AA2470">
            <w:pPr>
              <w:spacing w:after="0" w:line="240" w:lineRule="auto"/>
              <w:jc w:val="right"/>
              <w:rPr>
                <w:rFonts w:ascii="Arial" w:eastAsia="Times New Roman" w:hAnsi="Arial" w:cs="Arial"/>
                <w:b/>
                <w:bCs/>
                <w:color w:val="000000"/>
                <w:sz w:val="18"/>
                <w:szCs w:val="18"/>
                <w:lang w:eastAsia="en-ZA"/>
              </w:rPr>
            </w:pPr>
            <w:r w:rsidRPr="00AA2470">
              <w:rPr>
                <w:rFonts w:ascii="Arial" w:eastAsia="Times New Roman" w:hAnsi="Arial" w:cs="Arial"/>
                <w:b/>
                <w:bCs/>
                <w:color w:val="000000"/>
                <w:sz w:val="18"/>
                <w:szCs w:val="18"/>
                <w:lang w:eastAsia="en-ZA"/>
              </w:rPr>
              <w:t>Process Total</w:t>
            </w:r>
          </w:p>
        </w:tc>
        <w:tc>
          <w:tcPr>
            <w:tcW w:w="272" w:type="dxa"/>
            <w:tcBorders>
              <w:top w:val="nil"/>
              <w:left w:val="nil"/>
              <w:bottom w:val="single" w:sz="4" w:space="0" w:color="auto"/>
              <w:right w:val="single" w:sz="4" w:space="0" w:color="auto"/>
            </w:tcBorders>
            <w:shd w:val="clear" w:color="000000" w:fill="DAEEF3"/>
            <w:noWrap/>
            <w:hideMark/>
          </w:tcPr>
          <w:p w:rsidR="00AA2470" w:rsidRPr="00AA2470" w:rsidRDefault="00AA2470" w:rsidP="00AA2470">
            <w:pPr>
              <w:spacing w:after="0" w:line="240" w:lineRule="auto"/>
              <w:jc w:val="center"/>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249"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c>
          <w:tcPr>
            <w:tcW w:w="2127" w:type="dxa"/>
            <w:tcBorders>
              <w:top w:val="nil"/>
              <w:left w:val="nil"/>
              <w:bottom w:val="nil"/>
              <w:right w:val="nil"/>
            </w:tcBorders>
            <w:shd w:val="clear" w:color="auto" w:fill="auto"/>
            <w:noWrap/>
            <w:hideMark/>
          </w:tcPr>
          <w:p w:rsidR="00AA2470" w:rsidRPr="00AA2470" w:rsidRDefault="00AA2470" w:rsidP="00AA2470">
            <w:pPr>
              <w:spacing w:after="0" w:line="240" w:lineRule="auto"/>
              <w:rPr>
                <w:rFonts w:ascii="Arial" w:eastAsia="Times New Roman" w:hAnsi="Arial" w:cs="Arial"/>
                <w:color w:val="000000"/>
                <w:sz w:val="18"/>
                <w:szCs w:val="18"/>
                <w:lang w:eastAsia="en-ZA"/>
              </w:rPr>
            </w:pPr>
            <w:r w:rsidRPr="00AA2470">
              <w:rPr>
                <w:rFonts w:ascii="Arial" w:eastAsia="Times New Roman" w:hAnsi="Arial" w:cs="Arial"/>
                <w:color w:val="000000"/>
                <w:sz w:val="18"/>
                <w:szCs w:val="18"/>
                <w:lang w:eastAsia="en-ZA"/>
              </w:rPr>
              <w:t> </w:t>
            </w:r>
          </w:p>
        </w:tc>
      </w:tr>
    </w:tbl>
    <w:p w:rsidR="00094874" w:rsidRDefault="00094874"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A</w:t>
      </w:r>
    </w:p>
    <w:p w:rsidR="008F519B" w:rsidRDefault="008F519B" w:rsidP="00AA2470">
      <w:pPr>
        <w:rPr>
          <w:rFonts w:ascii="Arial" w:hAnsi="Arial" w:cs="Arial"/>
          <w:sz w:val="18"/>
          <w:szCs w:val="18"/>
        </w:rPr>
      </w:pPr>
    </w:p>
    <w:tbl>
      <w:tblPr>
        <w:tblW w:w="15020" w:type="dxa"/>
        <w:tblLook w:val="04A0" w:firstRow="1" w:lastRow="0" w:firstColumn="1" w:lastColumn="0" w:noHBand="0" w:noVBand="1"/>
      </w:tblPr>
      <w:tblGrid>
        <w:gridCol w:w="1596"/>
        <w:gridCol w:w="2657"/>
        <w:gridCol w:w="1516"/>
        <w:gridCol w:w="1436"/>
        <w:gridCol w:w="1456"/>
        <w:gridCol w:w="1356"/>
        <w:gridCol w:w="15"/>
        <w:gridCol w:w="1101"/>
        <w:gridCol w:w="15"/>
        <w:gridCol w:w="2021"/>
        <w:gridCol w:w="15"/>
        <w:gridCol w:w="1821"/>
        <w:gridCol w:w="15"/>
      </w:tblGrid>
      <w:tr w:rsidR="008F519B" w:rsidRPr="008F519B" w:rsidTr="008F519B">
        <w:trPr>
          <w:gridAfter w:val="1"/>
          <w:wAfter w:w="15" w:type="dxa"/>
          <w:trHeight w:val="240"/>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3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5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5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gridAfter w:val="1"/>
          <w:wAfter w:w="15" w:type="dxa"/>
          <w:trHeight w:val="240"/>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36"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56"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56"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0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gridAfter w:val="1"/>
          <w:wAfter w:w="15" w:type="dxa"/>
          <w:trHeight w:val="495"/>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3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5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5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gridAfter w:val="1"/>
          <w:wAfter w:w="15" w:type="dxa"/>
          <w:trHeight w:val="255"/>
          <w:tblHeader/>
        </w:trPr>
        <w:tc>
          <w:tcPr>
            <w:tcW w:w="1596"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57"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16"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36"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56"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56" w:type="dxa"/>
            <w:tcBorders>
              <w:top w:val="single" w:sz="8" w:space="0" w:color="auto"/>
              <w:left w:val="nil"/>
              <w:bottom w:val="nil"/>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1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8F519B" w:rsidRPr="008F519B" w:rsidTr="008F519B">
        <w:trPr>
          <w:gridAfter w:val="1"/>
          <w:wAfter w:w="15" w:type="dxa"/>
          <w:trHeight w:val="349"/>
          <w:tblHeader/>
        </w:trPr>
        <w:tc>
          <w:tcPr>
            <w:tcW w:w="4253" w:type="dxa"/>
            <w:gridSpan w:val="2"/>
            <w:tcBorders>
              <w:top w:val="single" w:sz="8" w:space="0" w:color="auto"/>
              <w:left w:val="nil"/>
              <w:bottom w:val="single" w:sz="4" w:space="0" w:color="auto"/>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16"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36"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8F519B">
        <w:trPr>
          <w:trHeight w:val="300"/>
        </w:trPr>
        <w:tc>
          <w:tcPr>
            <w:tcW w:w="10032" w:type="dxa"/>
            <w:gridSpan w:val="7"/>
            <w:tcBorders>
              <w:top w:val="single" w:sz="4" w:space="0" w:color="auto"/>
              <w:left w:val="single" w:sz="4" w:space="0" w:color="auto"/>
              <w:bottom w:val="single" w:sz="4" w:space="0" w:color="auto"/>
              <w:right w:val="nil"/>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Content &amp; Quality</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D71C06">
        <w:trPr>
          <w:gridAfter w:val="1"/>
          <w:wAfter w:w="15" w:type="dxa"/>
          <w:trHeight w:val="1478"/>
        </w:trPr>
        <w:tc>
          <w:tcPr>
            <w:tcW w:w="1596" w:type="dxa"/>
            <w:vMerge w:val="restart"/>
            <w:tcBorders>
              <w:top w:val="nil"/>
              <w:left w:val="single" w:sz="4" w:space="0" w:color="auto"/>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Introduction</w:t>
            </w: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BEPP Adoption:</w:t>
            </w:r>
            <w:r w:rsidRPr="008F519B">
              <w:rPr>
                <w:rFonts w:ascii="Calibri" w:eastAsia="Times New Roman" w:hAnsi="Calibri" w:cs="Calibri"/>
                <w:color w:val="000000"/>
                <w:sz w:val="18"/>
                <w:szCs w:val="18"/>
                <w:lang w:eastAsia="en-ZA"/>
              </w:rPr>
              <w:t xml:space="preserve"> A statement confirming the adoption of the BEPP by Council with a copy of the Council Resolution as an Annexure provided</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36" w:type="dxa"/>
            <w:gridSpan w:val="2"/>
            <w:tcBorders>
              <w:top w:val="nil"/>
              <w:left w:val="nil"/>
              <w:bottom w:val="single" w:sz="4" w:space="0" w:color="auto"/>
              <w:right w:val="single" w:sz="4" w:space="0" w:color="auto"/>
            </w:tcBorders>
            <w:shd w:val="clear" w:color="auto" w:fill="auto"/>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265757"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1.2.2</w:t>
            </w:r>
          </w:p>
        </w:tc>
        <w:tc>
          <w:tcPr>
            <w:tcW w:w="1836" w:type="dxa"/>
            <w:gridSpan w:val="2"/>
            <w:tcBorders>
              <w:top w:val="nil"/>
              <w:left w:val="nil"/>
              <w:bottom w:val="single" w:sz="4" w:space="0" w:color="auto"/>
              <w:right w:val="single" w:sz="4" w:space="0" w:color="auto"/>
            </w:tcBorders>
            <w:shd w:val="clear" w:color="auto" w:fill="auto"/>
            <w:noWrap/>
            <w:hideMark/>
          </w:tcPr>
          <w:p w:rsidR="008F519B" w:rsidRPr="00265757" w:rsidRDefault="008F519B" w:rsidP="008F519B">
            <w:pPr>
              <w:spacing w:after="0" w:line="240" w:lineRule="auto"/>
              <w:rPr>
                <w:rFonts w:ascii="Calibri" w:eastAsia="Times New Roman" w:hAnsi="Calibri" w:cs="Calibri"/>
                <w:color w:val="000000"/>
                <w:sz w:val="18"/>
                <w:szCs w:val="18"/>
                <w:lang w:eastAsia="en-ZA"/>
              </w:rPr>
            </w:pPr>
            <w:r w:rsidRPr="00265757">
              <w:rPr>
                <w:rFonts w:ascii="Calibri" w:eastAsia="Times New Roman" w:hAnsi="Calibri" w:cs="Calibri"/>
                <w:color w:val="000000"/>
                <w:sz w:val="18"/>
                <w:szCs w:val="18"/>
                <w:lang w:eastAsia="en-ZA"/>
              </w:rPr>
              <w:t> </w:t>
            </w:r>
          </w:p>
        </w:tc>
      </w:tr>
      <w:tr w:rsidR="008F519B" w:rsidRPr="008F519B" w:rsidTr="008F519B">
        <w:trPr>
          <w:gridAfter w:val="1"/>
          <w:wAfter w:w="15" w:type="dxa"/>
          <w:trHeight w:val="1572"/>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BEPP in relation to other Statutory Plans: </w:t>
            </w:r>
            <w:r w:rsidRPr="008F519B">
              <w:rPr>
                <w:rFonts w:ascii="Calibri" w:eastAsia="Times New Roman" w:hAnsi="Calibri" w:cs="Calibri"/>
                <w:color w:val="000000"/>
                <w:sz w:val="18"/>
                <w:szCs w:val="18"/>
                <w:lang w:eastAsia="en-ZA"/>
              </w:rPr>
              <w:t>Standardised section on the role of the BEPP - a list of documents and references used in compiling the BEPP provided. Confirmation of the role of the BEPP vis a vis  the MSDF's Capital Expenditure Framework is provided</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6" w:type="dxa"/>
            <w:gridSpan w:val="2"/>
            <w:tcBorders>
              <w:top w:val="nil"/>
              <w:left w:val="nil"/>
              <w:bottom w:val="single" w:sz="4" w:space="0" w:color="auto"/>
              <w:right w:val="single" w:sz="4" w:space="0" w:color="auto"/>
            </w:tcBorders>
            <w:shd w:val="clear" w:color="auto" w:fill="auto"/>
            <w:hideMark/>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265757" w:rsidRPr="008F0EF3" w:rsidRDefault="00311B2E"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w:t>
            </w:r>
            <w:r w:rsidR="00265757" w:rsidRPr="008F0EF3">
              <w:rPr>
                <w:rFonts w:ascii="Arial" w:eastAsia="Times New Roman" w:hAnsi="Arial" w:cs="Arial"/>
                <w:sz w:val="18"/>
                <w:szCs w:val="18"/>
                <w:lang w:eastAsia="en-ZA"/>
              </w:rPr>
              <w:t>ection 1 as well as Bibliography at the end of the BEPP</w:t>
            </w:r>
          </w:p>
        </w:tc>
        <w:tc>
          <w:tcPr>
            <w:tcW w:w="1836"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gridAfter w:val="1"/>
          <w:wAfter w:w="15" w:type="dxa"/>
          <w:trHeight w:val="1238"/>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BEPP in relation to other Statutory Plans:</w:t>
            </w:r>
            <w:r w:rsidRPr="008F519B">
              <w:rPr>
                <w:rFonts w:ascii="Calibri" w:eastAsia="Times New Roman" w:hAnsi="Calibri" w:cs="Calibri"/>
                <w:color w:val="000000"/>
                <w:sz w:val="18"/>
                <w:szCs w:val="18"/>
                <w:lang w:eastAsia="en-ZA"/>
              </w:rPr>
              <w:t xml:space="preserve"> The extent to which the planning method and results of the BEPP have been incorporated into the Council's statutory documents; </w:t>
            </w:r>
            <w:proofErr w:type="spellStart"/>
            <w:r w:rsidRPr="008F519B">
              <w:rPr>
                <w:rFonts w:ascii="Calibri" w:eastAsia="Times New Roman" w:hAnsi="Calibri" w:cs="Calibri"/>
                <w:color w:val="000000"/>
                <w:sz w:val="18"/>
                <w:szCs w:val="18"/>
                <w:lang w:eastAsia="en-ZA"/>
              </w:rPr>
              <w:t>ie</w:t>
            </w:r>
            <w:proofErr w:type="spellEnd"/>
            <w:r w:rsidRPr="008F519B">
              <w:rPr>
                <w:rFonts w:ascii="Calibri" w:eastAsia="Times New Roman" w:hAnsi="Calibri" w:cs="Calibri"/>
                <w:color w:val="000000"/>
                <w:sz w:val="18"/>
                <w:szCs w:val="18"/>
                <w:lang w:eastAsia="en-ZA"/>
              </w:rPr>
              <w:t>. IDP, Budget and SDFs outlined</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6" w:type="dxa"/>
            <w:gridSpan w:val="2"/>
            <w:tcBorders>
              <w:top w:val="nil"/>
              <w:left w:val="nil"/>
              <w:bottom w:val="single" w:sz="4" w:space="0" w:color="auto"/>
              <w:right w:val="single" w:sz="4" w:space="0" w:color="auto"/>
            </w:tcBorders>
            <w:shd w:val="clear" w:color="auto" w:fill="auto"/>
            <w:hideMark/>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Platinum</w:t>
            </w:r>
          </w:p>
          <w:p w:rsidR="00265757"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There is a very clear process specifically developed through the Strategic Planning Steering Committee to achieve this. Described in detail Section 1.2.5</w:t>
            </w:r>
          </w:p>
        </w:tc>
        <w:tc>
          <w:tcPr>
            <w:tcW w:w="1836"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D71C06">
        <w:trPr>
          <w:gridAfter w:val="1"/>
          <w:wAfter w:w="15" w:type="dxa"/>
          <w:trHeight w:val="1118"/>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nil"/>
              <w:right w:val="nil"/>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Alignment</w:t>
            </w:r>
            <w:r w:rsidRPr="008F519B">
              <w:rPr>
                <w:rFonts w:ascii="Calibri" w:eastAsia="Times New Roman" w:hAnsi="Calibri" w:cs="Calibri"/>
                <w:color w:val="000000"/>
                <w:sz w:val="18"/>
                <w:szCs w:val="18"/>
                <w:lang w:eastAsia="en-ZA"/>
              </w:rPr>
              <w:t>: A table is provided summarising key areas of alignment between the BEPP, IDP, MSDF in respect of the spatially targeted areas and the catalytic urban development programmes.</w:t>
            </w:r>
          </w:p>
        </w:tc>
        <w:tc>
          <w:tcPr>
            <w:tcW w:w="1516" w:type="dxa"/>
            <w:tcBorders>
              <w:top w:val="nil"/>
              <w:left w:val="single" w:sz="4" w:space="0" w:color="auto"/>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6" w:type="dxa"/>
            <w:gridSpan w:val="2"/>
            <w:tcBorders>
              <w:top w:val="nil"/>
              <w:left w:val="nil"/>
              <w:bottom w:val="single" w:sz="4" w:space="0" w:color="auto"/>
              <w:right w:val="single" w:sz="4" w:space="0" w:color="auto"/>
            </w:tcBorders>
            <w:shd w:val="clear" w:color="auto" w:fill="auto"/>
            <w:hideMark/>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 – 1.2.4 plus Table 1</w:t>
            </w:r>
          </w:p>
        </w:tc>
        <w:tc>
          <w:tcPr>
            <w:tcW w:w="1836"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D71C06">
        <w:trPr>
          <w:gridAfter w:val="1"/>
          <w:wAfter w:w="15" w:type="dxa"/>
          <w:trHeight w:val="1118"/>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single" w:sz="4" w:space="0" w:color="auto"/>
              <w:left w:val="nil"/>
              <w:bottom w:val="nil"/>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Consolidation</w:t>
            </w:r>
            <w:r w:rsidRPr="008F519B">
              <w:rPr>
                <w:rFonts w:ascii="Calibri" w:eastAsia="Times New Roman" w:hAnsi="Calibri" w:cs="Calibri"/>
                <w:color w:val="000000"/>
                <w:sz w:val="18"/>
                <w:szCs w:val="18"/>
                <w:lang w:eastAsia="en-ZA"/>
              </w:rPr>
              <w:t>: There is an established institutional vehicle to facilitate collaboration on the BEPP and its successive updates.</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6" w:type="dxa"/>
            <w:gridSpan w:val="2"/>
            <w:tcBorders>
              <w:top w:val="nil"/>
              <w:left w:val="nil"/>
              <w:bottom w:val="single" w:sz="4" w:space="0" w:color="auto"/>
              <w:right w:val="single" w:sz="4" w:space="0" w:color="auto"/>
            </w:tcBorders>
            <w:shd w:val="clear" w:color="auto" w:fill="auto"/>
            <w:hideMark/>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 /Platinum</w:t>
            </w:r>
          </w:p>
          <w:p w:rsidR="00265757" w:rsidRPr="008F0EF3" w:rsidRDefault="00265757" w:rsidP="00265757">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BEPP Multi Sectoral Task Team described in a number of places 1.2.5</w:t>
            </w:r>
          </w:p>
        </w:tc>
        <w:tc>
          <w:tcPr>
            <w:tcW w:w="1836"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263"/>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8436" w:type="dxa"/>
            <w:gridSpan w:val="6"/>
            <w:tcBorders>
              <w:top w:val="single" w:sz="4" w:space="0" w:color="auto"/>
              <w:left w:val="nil"/>
              <w:bottom w:val="single" w:sz="4" w:space="0" w:color="auto"/>
              <w:right w:val="single" w:sz="4" w:space="0" w:color="auto"/>
            </w:tcBorders>
            <w:shd w:val="clear" w:color="000000" w:fill="DAEEF3"/>
            <w:hideMark/>
          </w:tcPr>
          <w:p w:rsidR="008F519B" w:rsidRPr="008F519B" w:rsidRDefault="008F519B" w:rsidP="008F519B">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Section A Total</w:t>
            </w:r>
          </w:p>
        </w:tc>
        <w:tc>
          <w:tcPr>
            <w:tcW w:w="1116" w:type="dxa"/>
            <w:gridSpan w:val="2"/>
            <w:tcBorders>
              <w:top w:val="nil"/>
              <w:left w:val="nil"/>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83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bl>
    <w:p w:rsidR="008F519B" w:rsidRDefault="008F519B" w:rsidP="00AA2470">
      <w:pPr>
        <w:rPr>
          <w:rFonts w:ascii="Arial" w:hAnsi="Arial" w:cs="Arial"/>
          <w:sz w:val="18"/>
          <w:szCs w:val="18"/>
        </w:rPr>
      </w:pPr>
    </w:p>
    <w:p w:rsidR="008F519B" w:rsidRDefault="008F519B" w:rsidP="00AA2470">
      <w:pPr>
        <w:rPr>
          <w:rFonts w:ascii="Arial" w:hAnsi="Arial" w:cs="Arial"/>
          <w:sz w:val="18"/>
          <w:szCs w:val="18"/>
        </w:rPr>
      </w:pPr>
    </w:p>
    <w:p w:rsidR="008F519B" w:rsidRDefault="008F519B" w:rsidP="00AA2470">
      <w:pPr>
        <w:rPr>
          <w:rFonts w:ascii="Arial" w:hAnsi="Arial" w:cs="Arial"/>
          <w:sz w:val="18"/>
          <w:szCs w:val="18"/>
        </w:rPr>
      </w:pPr>
    </w:p>
    <w:p w:rsidR="008F519B" w:rsidRDefault="008F519B">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B</w:t>
      </w:r>
    </w:p>
    <w:p w:rsidR="008F519B" w:rsidRDefault="008F519B" w:rsidP="00AA2470">
      <w:pPr>
        <w:rPr>
          <w:rFonts w:ascii="Arial" w:hAnsi="Arial" w:cs="Arial"/>
          <w:sz w:val="18"/>
          <w:szCs w:val="18"/>
        </w:rPr>
      </w:pPr>
    </w:p>
    <w:tbl>
      <w:tblPr>
        <w:tblW w:w="15026" w:type="dxa"/>
        <w:tblLook w:val="04A0" w:firstRow="1" w:lastRow="0" w:firstColumn="1" w:lastColumn="0" w:noHBand="0" w:noVBand="1"/>
      </w:tblPr>
      <w:tblGrid>
        <w:gridCol w:w="1580"/>
        <w:gridCol w:w="2673"/>
        <w:gridCol w:w="1500"/>
        <w:gridCol w:w="1420"/>
        <w:gridCol w:w="1440"/>
        <w:gridCol w:w="1340"/>
        <w:gridCol w:w="8"/>
        <w:gridCol w:w="1092"/>
        <w:gridCol w:w="11"/>
        <w:gridCol w:w="2119"/>
        <w:gridCol w:w="1843"/>
      </w:tblGrid>
      <w:tr w:rsidR="000F1CFE" w:rsidRPr="008F519B" w:rsidTr="008F0EF3">
        <w:trPr>
          <w:trHeight w:val="240"/>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2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4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4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13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0F1CFE" w:rsidRPr="008F519B" w:rsidTr="008F0EF3">
        <w:trPr>
          <w:trHeight w:val="240"/>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20"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40"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40"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13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0F1CFE" w:rsidRPr="008F519B" w:rsidTr="008F0EF3">
        <w:trPr>
          <w:trHeight w:val="495"/>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2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4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4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13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0F1CFE" w:rsidRPr="008F519B" w:rsidTr="008F0EF3">
        <w:trPr>
          <w:trHeight w:val="255"/>
          <w:tblHeader/>
        </w:trPr>
        <w:tc>
          <w:tcPr>
            <w:tcW w:w="1580"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73"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0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2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4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40" w:type="dxa"/>
            <w:tcBorders>
              <w:top w:val="single" w:sz="8" w:space="0" w:color="auto"/>
              <w:left w:val="nil"/>
              <w:bottom w:val="nil"/>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0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0F1CFE" w:rsidRPr="008F519B" w:rsidTr="008F0EF3">
        <w:trPr>
          <w:trHeight w:val="398"/>
          <w:tblHeader/>
        </w:trPr>
        <w:tc>
          <w:tcPr>
            <w:tcW w:w="4253" w:type="dxa"/>
            <w:gridSpan w:val="2"/>
            <w:tcBorders>
              <w:top w:val="single" w:sz="8" w:space="0" w:color="auto"/>
              <w:left w:val="nil"/>
              <w:bottom w:val="single" w:sz="4" w:space="0" w:color="auto"/>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00"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0F1CFE" w:rsidRPr="008F519B" w:rsidTr="008F0EF3">
        <w:trPr>
          <w:trHeight w:val="1032"/>
        </w:trPr>
        <w:tc>
          <w:tcPr>
            <w:tcW w:w="1580" w:type="dxa"/>
            <w:vMerge w:val="restart"/>
            <w:tcBorders>
              <w:top w:val="nil"/>
              <w:left w:val="single" w:sz="4" w:space="0" w:color="auto"/>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B Spatial Planning and Targeting</w:t>
            </w:r>
          </w:p>
        </w:tc>
        <w:tc>
          <w:tcPr>
            <w:tcW w:w="2673" w:type="dxa"/>
            <w:tcBorders>
              <w:top w:val="nil"/>
              <w:left w:val="nil"/>
              <w:bottom w:val="single" w:sz="4" w:space="0" w:color="auto"/>
              <w:right w:val="single" w:sz="4" w:space="0" w:color="auto"/>
            </w:tcBorders>
            <w:shd w:val="clear" w:color="auto" w:fill="auto"/>
            <w:hideMark/>
          </w:tcPr>
          <w:p w:rsidR="008F519B" w:rsidRPr="00D71C06" w:rsidRDefault="008F519B" w:rsidP="008F519B">
            <w:pPr>
              <w:spacing w:after="0" w:line="240" w:lineRule="auto"/>
              <w:rPr>
                <w:rFonts w:ascii="Calibri" w:eastAsia="Times New Roman" w:hAnsi="Calibri" w:cs="Calibri"/>
                <w:color w:val="000000"/>
                <w:sz w:val="18"/>
                <w:szCs w:val="18"/>
                <w:lang w:eastAsia="en-ZA"/>
              </w:rPr>
            </w:pPr>
            <w:r w:rsidRPr="00D71C06">
              <w:rPr>
                <w:rFonts w:ascii="Calibri" w:eastAsia="Times New Roman" w:hAnsi="Calibri" w:cs="Calibri"/>
                <w:b/>
                <w:bCs/>
                <w:color w:val="000000"/>
                <w:sz w:val="18"/>
                <w:szCs w:val="18"/>
                <w:lang w:eastAsia="en-ZA"/>
              </w:rPr>
              <w:t xml:space="preserve">Spatial Targeting: Urban network and IZ planning and prioritisation: </w:t>
            </w:r>
            <w:r w:rsidRPr="00D71C06">
              <w:rPr>
                <w:rFonts w:ascii="Calibri" w:eastAsia="Times New Roman" w:hAnsi="Calibri" w:cs="Calibri"/>
                <w:color w:val="000000"/>
                <w:sz w:val="18"/>
                <w:szCs w:val="18"/>
                <w:lang w:eastAsia="en-ZA"/>
              </w:rPr>
              <w:t xml:space="preserve"> MSDF map showing the Urban Network with all IZs, including highlighted prioritised IZ(s) and IPTN</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noWrap/>
            <w:hideMark/>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265757"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Figures 5 and 6 </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0F1CFE" w:rsidRPr="008F519B" w:rsidTr="008F0EF3">
        <w:trPr>
          <w:trHeight w:val="186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D71C06" w:rsidRDefault="008F519B" w:rsidP="008F519B">
            <w:pPr>
              <w:spacing w:after="0" w:line="240" w:lineRule="auto"/>
              <w:rPr>
                <w:rFonts w:ascii="Calibri" w:eastAsia="Times New Roman" w:hAnsi="Calibri" w:cs="Calibri"/>
                <w:color w:val="000000"/>
                <w:sz w:val="18"/>
                <w:szCs w:val="18"/>
                <w:lang w:eastAsia="en-ZA"/>
              </w:rPr>
            </w:pPr>
            <w:r w:rsidRPr="00D71C06">
              <w:rPr>
                <w:rFonts w:ascii="Calibri" w:eastAsia="Times New Roman" w:hAnsi="Calibri" w:cs="Calibri"/>
                <w:b/>
                <w:bCs/>
                <w:color w:val="000000"/>
                <w:sz w:val="18"/>
                <w:szCs w:val="18"/>
                <w:lang w:eastAsia="en-ZA"/>
              </w:rPr>
              <w:t>Spatial Targeting: Spatially targeted areas identification and prioritisation:</w:t>
            </w:r>
            <w:r w:rsidRPr="00D71C06">
              <w:rPr>
                <w:rFonts w:ascii="Calibri" w:eastAsia="Times New Roman" w:hAnsi="Calibri" w:cs="Calibri"/>
                <w:color w:val="000000"/>
                <w:sz w:val="18"/>
                <w:szCs w:val="18"/>
                <w:lang w:eastAsia="en-ZA"/>
              </w:rPr>
              <w:t xml:space="preserve">  Map provided showing: (</w:t>
            </w:r>
            <w:proofErr w:type="spellStart"/>
            <w:r w:rsidRPr="00D71C06">
              <w:rPr>
                <w:rFonts w:ascii="Calibri" w:eastAsia="Times New Roman" w:hAnsi="Calibri" w:cs="Calibri"/>
                <w:color w:val="000000"/>
                <w:sz w:val="18"/>
                <w:szCs w:val="18"/>
                <w:lang w:eastAsia="en-ZA"/>
              </w:rPr>
              <w:t>i</w:t>
            </w:r>
            <w:proofErr w:type="spellEnd"/>
            <w:r w:rsidRPr="00D71C06">
              <w:rPr>
                <w:rFonts w:ascii="Calibri" w:eastAsia="Times New Roman" w:hAnsi="Calibri" w:cs="Calibri"/>
                <w:color w:val="000000"/>
                <w:sz w:val="18"/>
                <w:szCs w:val="18"/>
                <w:lang w:eastAsia="en-ZA"/>
              </w:rPr>
              <w:t>) Integration Zones and prioritisation; (ii) economic nodes, segmented into Metro categorisation method, and prioritised; and (iii) Prioritised marginalised residential areas differentiating between informal settlements and other marginalised residential areas.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noWrap/>
            <w:hideMark/>
          </w:tcPr>
          <w:p w:rsidR="008F519B"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r w:rsidR="00542C77" w:rsidRPr="008F0EF3">
              <w:rPr>
                <w:rFonts w:ascii="Arial" w:eastAsia="Times New Roman" w:hAnsi="Arial" w:cs="Arial"/>
                <w:sz w:val="18"/>
                <w:szCs w:val="18"/>
                <w:lang w:eastAsia="en-ZA"/>
              </w:rPr>
              <w:t>/platinum</w:t>
            </w:r>
          </w:p>
          <w:p w:rsidR="00542C77" w:rsidRPr="008F0EF3" w:rsidRDefault="002657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Figures 5,6,7,8,9,10,11</w:t>
            </w:r>
            <w:r w:rsidR="00542C77" w:rsidRPr="008F0EF3">
              <w:rPr>
                <w:rFonts w:ascii="Arial" w:eastAsia="Times New Roman" w:hAnsi="Arial" w:cs="Arial"/>
                <w:sz w:val="18"/>
                <w:szCs w:val="18"/>
                <w:lang w:eastAsia="en-ZA"/>
              </w:rPr>
              <w:t>,17,19,</w:t>
            </w:r>
          </w:p>
          <w:p w:rsidR="00265757" w:rsidRPr="008F0EF3" w:rsidRDefault="00542C7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20,21,27.</w:t>
            </w:r>
          </w:p>
          <w:p w:rsidR="00542C77" w:rsidRPr="008F0EF3" w:rsidRDefault="00542C7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A very detailed narrative of the development and result of the Urban network Framework</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0F1CFE" w:rsidRPr="008F519B" w:rsidTr="008F0EF3">
        <w:trPr>
          <w:trHeight w:val="1489"/>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Spatial Targeting: IZ and precinct prioritisation:  </w:t>
            </w:r>
            <w:r w:rsidRPr="008F519B">
              <w:rPr>
                <w:rFonts w:ascii="Calibri" w:eastAsia="Times New Roman" w:hAnsi="Calibri" w:cs="Calibri"/>
                <w:color w:val="000000"/>
                <w:sz w:val="18"/>
                <w:szCs w:val="18"/>
                <w:lang w:eastAsia="en-ZA"/>
              </w:rPr>
              <w:t xml:space="preserve">Clear statement of the prioritisation of the integration zones.  Prioritised Integration Zone with the key precincts identified and prioritised for further planning.  </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noWrap/>
            <w:hideMark/>
          </w:tcPr>
          <w:p w:rsidR="008F519B" w:rsidRPr="008F0EF3" w:rsidRDefault="00542C7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 Platinum see section </w:t>
            </w:r>
            <w:r w:rsidR="00D71C06" w:rsidRPr="008F0EF3">
              <w:rPr>
                <w:rFonts w:ascii="Arial" w:eastAsia="Times New Roman" w:hAnsi="Arial" w:cs="Arial"/>
                <w:sz w:val="18"/>
                <w:szCs w:val="18"/>
                <w:lang w:eastAsia="en-ZA"/>
              </w:rPr>
              <w:t>2.1</w:t>
            </w:r>
            <w:r w:rsidRPr="008F0EF3">
              <w:rPr>
                <w:rFonts w:ascii="Arial" w:eastAsia="Times New Roman" w:hAnsi="Arial" w:cs="Arial"/>
                <w:sz w:val="18"/>
                <w:szCs w:val="18"/>
                <w:lang w:eastAsia="en-ZA"/>
              </w:rPr>
              <w:t>.2.1.5</w:t>
            </w:r>
          </w:p>
          <w:p w:rsidR="00542C77" w:rsidRPr="008F0EF3" w:rsidRDefault="00542C7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With attendant maps and precinct planning maps </w:t>
            </w:r>
          </w:p>
          <w:p w:rsidR="00542C77" w:rsidRPr="008F0EF3" w:rsidRDefault="00542C77" w:rsidP="008F519B">
            <w:pPr>
              <w:spacing w:after="0" w:line="240" w:lineRule="auto"/>
              <w:rPr>
                <w:rFonts w:ascii="Arial" w:eastAsia="Times New Roman" w:hAnsi="Arial" w:cs="Arial"/>
                <w:sz w:val="18"/>
                <w:szCs w:val="18"/>
                <w:lang w:eastAsia="en-ZA"/>
              </w:rPr>
            </w:pP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0F1CFE" w:rsidRPr="00542C77" w:rsidTr="008F0EF3">
        <w:trPr>
          <w:trHeight w:val="339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Spatial Targeting: IZ planning: </w:t>
            </w:r>
            <w:r w:rsidRPr="008F519B">
              <w:rPr>
                <w:rFonts w:ascii="Calibri" w:eastAsia="Times New Roman" w:hAnsi="Calibri" w:cs="Calibri"/>
                <w:color w:val="000000"/>
                <w:sz w:val="18"/>
                <w:szCs w:val="18"/>
                <w:lang w:eastAsia="en-ZA"/>
              </w:rPr>
              <w:t xml:space="preserve">Evidence of a </w:t>
            </w:r>
            <w:r w:rsidRPr="008F519B">
              <w:rPr>
                <w:rFonts w:ascii="Calibri" w:eastAsia="Times New Roman" w:hAnsi="Calibri" w:cs="Calibri"/>
                <w:b/>
                <w:bCs/>
                <w:color w:val="000000"/>
                <w:sz w:val="18"/>
                <w:szCs w:val="18"/>
                <w:lang w:eastAsia="en-ZA"/>
              </w:rPr>
              <w:t>Prioritised Integration Zone Plan</w:t>
            </w:r>
            <w:r w:rsidRPr="008F519B">
              <w:rPr>
                <w:rFonts w:ascii="Calibri" w:eastAsia="Times New Roman" w:hAnsi="Calibri" w:cs="Calibri"/>
                <w:color w:val="000000"/>
                <w:sz w:val="18"/>
                <w:szCs w:val="18"/>
                <w:lang w:eastAsia="en-ZA"/>
              </w:rPr>
              <w:t xml:space="preserve"> consisting of: (</w:t>
            </w:r>
            <w:proofErr w:type="spellStart"/>
            <w:r w:rsidRPr="008F519B">
              <w:rPr>
                <w:rFonts w:ascii="Calibri" w:eastAsia="Times New Roman" w:hAnsi="Calibri" w:cs="Calibri"/>
                <w:color w:val="000000"/>
                <w:sz w:val="18"/>
                <w:szCs w:val="18"/>
                <w:lang w:eastAsia="en-ZA"/>
              </w:rPr>
              <w:t>i</w:t>
            </w:r>
            <w:proofErr w:type="spellEnd"/>
            <w:r w:rsidRPr="008F519B">
              <w:rPr>
                <w:rFonts w:ascii="Calibri" w:eastAsia="Times New Roman" w:hAnsi="Calibri" w:cs="Calibri"/>
                <w:color w:val="000000"/>
                <w:sz w:val="18"/>
                <w:szCs w:val="18"/>
                <w:lang w:eastAsia="en-ZA"/>
              </w:rPr>
              <w:t>) IZ Spatial Logic (mapped); (ii) IZ targets (Residential, Community, Employment, Transport); (iii) prioritised precincts (IZ phasing); (iv) List of prioritised IZ-wide projects, with descriptions, high-level costings and mapped number references in the Inter-Governmental Project Pipeline format; (vi) Prioritised IZ-wide interventions (land release proposals, procurement proposals, proposed policy, regulations, incentives, further studies, operational efficiencies, specifically public transport, including alignment between modes and spheres).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0F1CFE" w:rsidRPr="008F0EF3" w:rsidRDefault="00542C7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Silver- </w:t>
            </w:r>
          </w:p>
          <w:p w:rsidR="000F1CFE" w:rsidRPr="008F0EF3" w:rsidRDefault="000F1CFE" w:rsidP="00D71C06">
            <w:pPr>
              <w:pStyle w:val="ListParagraph"/>
              <w:numPr>
                <w:ilvl w:val="0"/>
                <w:numId w:val="1"/>
              </w:numPr>
              <w:spacing w:after="0" w:line="240" w:lineRule="auto"/>
              <w:ind w:left="457" w:hanging="425"/>
              <w:rPr>
                <w:rFonts w:ascii="Arial" w:eastAsia="Times New Roman" w:hAnsi="Arial" w:cs="Arial"/>
                <w:sz w:val="18"/>
                <w:szCs w:val="18"/>
                <w:lang w:eastAsia="en-ZA"/>
              </w:rPr>
            </w:pPr>
            <w:r w:rsidRPr="008F0EF3">
              <w:rPr>
                <w:rFonts w:ascii="Arial" w:eastAsia="Times New Roman" w:hAnsi="Arial" w:cs="Arial"/>
                <w:sz w:val="18"/>
                <w:szCs w:val="18"/>
                <w:lang w:eastAsia="en-ZA"/>
              </w:rPr>
              <w:t>Mapped</w:t>
            </w:r>
          </w:p>
          <w:p w:rsidR="000F1CFE" w:rsidRPr="008F0EF3" w:rsidRDefault="000F1CFE" w:rsidP="00D71C06">
            <w:pPr>
              <w:pStyle w:val="ListParagraph"/>
              <w:numPr>
                <w:ilvl w:val="0"/>
                <w:numId w:val="1"/>
              </w:numPr>
              <w:spacing w:after="0" w:line="240" w:lineRule="auto"/>
              <w:ind w:left="457" w:hanging="425"/>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Not all information </w:t>
            </w:r>
            <w:r w:rsidR="00D71C06" w:rsidRPr="008F0EF3">
              <w:rPr>
                <w:rFonts w:ascii="Arial" w:eastAsia="Times New Roman" w:hAnsi="Arial" w:cs="Arial"/>
                <w:sz w:val="18"/>
                <w:szCs w:val="18"/>
                <w:lang w:eastAsia="en-ZA"/>
              </w:rPr>
              <w:t>available</w:t>
            </w:r>
          </w:p>
          <w:p w:rsidR="000F1CFE" w:rsidRPr="008F0EF3" w:rsidRDefault="000F1CFE" w:rsidP="00D71C06">
            <w:pPr>
              <w:pStyle w:val="ListParagraph"/>
              <w:numPr>
                <w:ilvl w:val="0"/>
                <w:numId w:val="1"/>
              </w:numPr>
              <w:spacing w:after="0" w:line="240" w:lineRule="auto"/>
              <w:ind w:left="457" w:hanging="425"/>
              <w:rPr>
                <w:rFonts w:ascii="Arial" w:eastAsia="Times New Roman" w:hAnsi="Arial" w:cs="Arial"/>
                <w:sz w:val="18"/>
                <w:szCs w:val="18"/>
                <w:lang w:eastAsia="en-ZA"/>
              </w:rPr>
            </w:pPr>
            <w:r w:rsidRPr="008F0EF3">
              <w:rPr>
                <w:rFonts w:ascii="Arial" w:eastAsia="Times New Roman" w:hAnsi="Arial" w:cs="Arial"/>
                <w:sz w:val="18"/>
                <w:szCs w:val="18"/>
                <w:lang w:eastAsia="en-ZA"/>
              </w:rPr>
              <w:t>Mapped</w:t>
            </w:r>
          </w:p>
          <w:p w:rsidR="00D71C06" w:rsidRPr="008F0EF3" w:rsidRDefault="000F1CFE" w:rsidP="00D71C06">
            <w:pPr>
              <w:pStyle w:val="ListParagraph"/>
              <w:numPr>
                <w:ilvl w:val="0"/>
                <w:numId w:val="1"/>
              </w:numPr>
              <w:spacing w:after="0" w:line="240" w:lineRule="auto"/>
              <w:ind w:left="457" w:hanging="425"/>
              <w:rPr>
                <w:rFonts w:ascii="Arial" w:eastAsia="Times New Roman" w:hAnsi="Arial" w:cs="Arial"/>
                <w:sz w:val="18"/>
                <w:szCs w:val="18"/>
                <w:lang w:eastAsia="en-ZA"/>
              </w:rPr>
            </w:pPr>
            <w:r w:rsidRPr="008F0EF3">
              <w:rPr>
                <w:rFonts w:ascii="Arial" w:eastAsia="Times New Roman" w:hAnsi="Arial" w:cs="Arial"/>
                <w:sz w:val="18"/>
                <w:szCs w:val="18"/>
                <w:lang w:eastAsia="en-ZA"/>
              </w:rPr>
              <w:t>Mapped but information missing on costings in some cases</w:t>
            </w:r>
          </w:p>
          <w:p w:rsidR="000F1CFE" w:rsidRPr="008F0EF3" w:rsidRDefault="00542C77" w:rsidP="00D71C06">
            <w:pPr>
              <w:pStyle w:val="ListParagraph"/>
              <w:numPr>
                <w:ilvl w:val="0"/>
                <w:numId w:val="1"/>
              </w:numPr>
              <w:spacing w:after="0" w:line="240" w:lineRule="auto"/>
              <w:ind w:left="457" w:hanging="425"/>
              <w:rPr>
                <w:rFonts w:ascii="Arial" w:eastAsia="Times New Roman" w:hAnsi="Arial" w:cs="Arial"/>
                <w:sz w:val="18"/>
                <w:szCs w:val="18"/>
                <w:lang w:eastAsia="en-ZA"/>
              </w:rPr>
            </w:pPr>
            <w:r w:rsidRPr="008F0EF3">
              <w:rPr>
                <w:rFonts w:ascii="Arial" w:eastAsia="Times New Roman" w:hAnsi="Arial" w:cs="Arial"/>
                <w:sz w:val="18"/>
                <w:szCs w:val="18"/>
                <w:lang w:eastAsia="en-ZA"/>
              </w:rPr>
              <w:t>Intergovernmental Pipeline still lacks information on costings</w:t>
            </w:r>
            <w:r w:rsidR="000F1CFE" w:rsidRPr="008F0EF3">
              <w:rPr>
                <w:rFonts w:ascii="Arial" w:eastAsia="Times New Roman" w:hAnsi="Arial" w:cs="Arial"/>
                <w:sz w:val="18"/>
                <w:szCs w:val="18"/>
                <w:lang w:eastAsia="en-ZA"/>
              </w:rPr>
              <w:t xml:space="preserve"> and mapped number references.</w:t>
            </w:r>
          </w:p>
          <w:p w:rsidR="008F519B" w:rsidRPr="008F0EF3" w:rsidRDefault="000F1CFE" w:rsidP="00D71C06">
            <w:pPr>
              <w:pStyle w:val="ListParagraph"/>
              <w:numPr>
                <w:ilvl w:val="0"/>
                <w:numId w:val="1"/>
              </w:numPr>
              <w:spacing w:after="0" w:line="240" w:lineRule="auto"/>
              <w:ind w:left="457" w:hanging="425"/>
              <w:rPr>
                <w:rFonts w:ascii="Arial" w:eastAsia="Times New Roman" w:hAnsi="Arial" w:cs="Arial"/>
                <w:sz w:val="18"/>
                <w:szCs w:val="18"/>
                <w:lang w:eastAsia="en-ZA"/>
              </w:rPr>
            </w:pPr>
            <w:r w:rsidRPr="008F0EF3">
              <w:rPr>
                <w:rFonts w:ascii="Arial" w:eastAsia="Times New Roman" w:hAnsi="Arial" w:cs="Arial"/>
                <w:sz w:val="18"/>
                <w:szCs w:val="18"/>
                <w:lang w:eastAsia="en-ZA"/>
              </w:rPr>
              <w:t>IZ interventions can be better articulated</w:t>
            </w:r>
            <w:r w:rsidR="00542C77" w:rsidRPr="008F0EF3">
              <w:rPr>
                <w:rFonts w:ascii="Arial" w:eastAsia="Times New Roman" w:hAnsi="Arial" w:cs="Arial"/>
                <w:sz w:val="18"/>
                <w:szCs w:val="18"/>
                <w:lang w:eastAsia="en-ZA"/>
              </w:rPr>
              <w:t xml:space="preserve"> </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1069"/>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IZ planning and implementation:</w:t>
            </w:r>
            <w:r w:rsidRPr="008F519B">
              <w:rPr>
                <w:rFonts w:ascii="Calibri" w:eastAsia="Times New Roman" w:hAnsi="Calibri" w:cs="Calibri"/>
                <w:color w:val="000000"/>
                <w:sz w:val="18"/>
                <w:szCs w:val="18"/>
                <w:lang w:eastAsia="en-ZA"/>
              </w:rPr>
              <w:t xml:space="preserve"> Evidence of consultation or co-planning with relevant provincial, national and SOE sectors.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0F1CFE" w:rsidRPr="008F0EF3" w:rsidRDefault="000F1CFE" w:rsidP="000F1CF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0F1CFE" w:rsidRPr="008F0EF3" w:rsidRDefault="000F1CFE" w:rsidP="00D71C06">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Huge strides have been made in the last financial year with regard to interactions with SOE’s and Government Departments. Processes are in place for the coming year to enhance the </w:t>
            </w:r>
            <w:r w:rsidRPr="008F0EF3">
              <w:rPr>
                <w:rFonts w:ascii="Arial" w:eastAsia="Times New Roman" w:hAnsi="Arial" w:cs="Arial"/>
                <w:sz w:val="18"/>
                <w:szCs w:val="18"/>
                <w:lang w:eastAsia="en-ZA"/>
              </w:rPr>
              <w:lastRenderedPageBreak/>
              <w:t>information coming from these engagements. This is covered, inter alia, under section</w:t>
            </w:r>
            <w:r w:rsidR="00D71C06" w:rsidRPr="008F0EF3">
              <w:rPr>
                <w:rFonts w:ascii="Arial" w:eastAsia="Times New Roman" w:hAnsi="Arial" w:cs="Arial"/>
                <w:sz w:val="18"/>
                <w:szCs w:val="18"/>
                <w:lang w:eastAsia="en-ZA"/>
              </w:rPr>
              <w:t xml:space="preserve"> 3.3.2</w:t>
            </w:r>
            <w:r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of the BEPP.</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lastRenderedPageBreak/>
              <w:t> </w:t>
            </w:r>
          </w:p>
        </w:tc>
      </w:tr>
      <w:tr w:rsidR="000F1CFE" w:rsidRPr="00542C77" w:rsidTr="008F0EF3">
        <w:trPr>
          <w:trHeight w:val="949"/>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Strengthening alignment of public transport and housing plans:</w:t>
            </w:r>
            <w:r w:rsidRPr="008F519B">
              <w:rPr>
                <w:rFonts w:ascii="Calibri" w:eastAsia="Times New Roman" w:hAnsi="Calibri" w:cs="Calibri"/>
                <w:color w:val="000000"/>
                <w:sz w:val="18"/>
                <w:szCs w:val="18"/>
                <w:lang w:eastAsia="en-ZA"/>
              </w:rPr>
              <w:t xml:space="preserve"> Human settlements demand projections, disaggregated by area and typology, incorporated.</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8F519B" w:rsidRPr="008F0EF3" w:rsidRDefault="0048744C"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0F1CFE" w:rsidRPr="008F0EF3" w:rsidRDefault="000F1CFE" w:rsidP="000F1CF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Detailed Information on housing demand with projections contained in the Situational Analysis Annexure C</w:t>
            </w:r>
            <w:r w:rsidR="0048744C" w:rsidRPr="008F0EF3">
              <w:rPr>
                <w:rFonts w:ascii="Arial" w:eastAsia="Times New Roman" w:hAnsi="Arial" w:cs="Arial"/>
                <w:sz w:val="18"/>
                <w:szCs w:val="18"/>
                <w:lang w:eastAsia="en-ZA"/>
              </w:rPr>
              <w:t xml:space="preserve"> section 4.1</w:t>
            </w:r>
            <w:r w:rsidRPr="008F0EF3">
              <w:rPr>
                <w:rFonts w:ascii="Arial" w:eastAsia="Times New Roman" w:hAnsi="Arial" w:cs="Arial"/>
                <w:sz w:val="18"/>
                <w:szCs w:val="18"/>
                <w:lang w:eastAsia="en-ZA"/>
              </w:rPr>
              <w:t>. The Shisaka studies done in NMBM referenced in the bibliography and referred to in the BEPP have dealt with this subject matter in detail.</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949"/>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Strengthening alignment of public transport and housing plans</w:t>
            </w:r>
            <w:r w:rsidRPr="008F519B">
              <w:rPr>
                <w:rFonts w:ascii="Calibri" w:eastAsia="Times New Roman" w:hAnsi="Calibri" w:cs="Calibri"/>
                <w:color w:val="000000"/>
                <w:sz w:val="18"/>
                <w:szCs w:val="18"/>
                <w:lang w:eastAsia="en-ZA"/>
              </w:rPr>
              <w:t>: Public Transport demand projections, disaggregated by area and mode, incorporated.</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48744C" w:rsidRDefault="008F519B" w:rsidP="008F519B">
            <w:pPr>
              <w:spacing w:after="0" w:line="240" w:lineRule="auto"/>
              <w:jc w:val="center"/>
              <w:rPr>
                <w:rFonts w:ascii="Calibri" w:eastAsia="Times New Roman" w:hAnsi="Calibri" w:cs="Calibri"/>
                <w:sz w:val="18"/>
                <w:szCs w:val="18"/>
                <w:lang w:eastAsia="en-ZA"/>
              </w:rPr>
            </w:pPr>
            <w:r w:rsidRPr="0048744C">
              <w:rPr>
                <w:rFonts w:ascii="Calibri" w:eastAsia="Times New Roman" w:hAnsi="Calibri" w:cs="Calibri"/>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8F519B" w:rsidRPr="008F0EF3" w:rsidRDefault="0048744C"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48744C" w:rsidRPr="008F0EF3" w:rsidRDefault="0048744C"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7 of the Situational Analysis attached as Appendix </w:t>
            </w:r>
            <w:r w:rsidR="0003212A" w:rsidRPr="008F0EF3">
              <w:rPr>
                <w:rFonts w:ascii="Arial" w:eastAsia="Times New Roman" w:hAnsi="Arial" w:cs="Arial"/>
                <w:sz w:val="18"/>
                <w:szCs w:val="18"/>
                <w:lang w:eastAsia="en-ZA"/>
              </w:rPr>
              <w:t>C</w:t>
            </w:r>
            <w:r w:rsidRPr="008F0EF3">
              <w:rPr>
                <w:rFonts w:ascii="Arial" w:eastAsia="Times New Roman" w:hAnsi="Arial" w:cs="Arial"/>
                <w:sz w:val="18"/>
                <w:szCs w:val="18"/>
                <w:lang w:eastAsia="en-ZA"/>
              </w:rPr>
              <w:t xml:space="preserve"> to the BEPP read in conjunction with information under </w:t>
            </w:r>
            <w:r w:rsidR="00D71C06" w:rsidRPr="008F0EF3">
              <w:rPr>
                <w:rFonts w:ascii="Arial" w:eastAsia="Times New Roman" w:hAnsi="Arial" w:cs="Arial"/>
                <w:sz w:val="18"/>
                <w:szCs w:val="18"/>
                <w:lang w:eastAsia="en-ZA"/>
              </w:rPr>
              <w:t>2.1.2.1.10</w:t>
            </w:r>
            <w:r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 xml:space="preserve">of the BEPP </w:t>
            </w:r>
          </w:p>
          <w:p w:rsidR="0048744C" w:rsidRPr="008F0EF3" w:rsidRDefault="0048744C" w:rsidP="008F519B">
            <w:pPr>
              <w:spacing w:after="0" w:line="240" w:lineRule="auto"/>
              <w:rPr>
                <w:rFonts w:ascii="Arial" w:eastAsia="Times New Roman" w:hAnsi="Arial" w:cs="Arial"/>
                <w:sz w:val="18"/>
                <w:szCs w:val="18"/>
                <w:lang w:eastAsia="en-ZA"/>
              </w:rPr>
            </w:pPr>
          </w:p>
          <w:p w:rsidR="000F1CFE" w:rsidRPr="008F0EF3" w:rsidRDefault="000F1CFE" w:rsidP="008F519B">
            <w:pPr>
              <w:spacing w:after="0" w:line="240" w:lineRule="auto"/>
              <w:rPr>
                <w:rFonts w:ascii="Arial" w:eastAsia="Times New Roman" w:hAnsi="Arial" w:cs="Arial"/>
                <w:sz w:val="18"/>
                <w:szCs w:val="18"/>
                <w:lang w:eastAsia="en-ZA"/>
              </w:rPr>
            </w:pP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1403"/>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Spatial Targeting: Strengthening alignment of public transport and housing plans: </w:t>
            </w:r>
            <w:r w:rsidRPr="008F519B">
              <w:rPr>
                <w:rFonts w:ascii="Calibri" w:eastAsia="Times New Roman" w:hAnsi="Calibri" w:cs="Calibri"/>
                <w:color w:val="000000"/>
                <w:sz w:val="18"/>
                <w:szCs w:val="18"/>
                <w:lang w:eastAsia="en-ZA"/>
              </w:rPr>
              <w:t>Map provided showing Integrated Public Transport Plans (IPTN) compared to the priority spatially  targeted areas (Integration Zones, Economic nodes, Marginalised  Residential Areas).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5C0C6D" w:rsidRPr="008F0EF3" w:rsidRDefault="005C0C6D"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8F519B" w:rsidRPr="008F0EF3" w:rsidRDefault="0048744C" w:rsidP="008F519B">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 xml:space="preserve">Section </w:t>
            </w:r>
            <w:r w:rsidR="00D71C06" w:rsidRPr="008F0EF3">
              <w:rPr>
                <w:rFonts w:ascii="Arial" w:eastAsia="Times New Roman" w:hAnsi="Arial" w:cs="Arial"/>
                <w:sz w:val="18"/>
                <w:szCs w:val="18"/>
                <w:lang w:eastAsia="en-ZA"/>
              </w:rPr>
              <w:t>2.1.2.1.10</w:t>
            </w:r>
            <w:r w:rsidR="00D71C06"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IPTS and figure 29 including the narrative of this section.</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1305"/>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Strengthening alignment of public transport and housing plans:</w:t>
            </w:r>
            <w:r w:rsidRPr="008F519B">
              <w:rPr>
                <w:rFonts w:ascii="Calibri" w:eastAsia="Times New Roman" w:hAnsi="Calibri" w:cs="Calibri"/>
                <w:color w:val="000000"/>
                <w:sz w:val="18"/>
                <w:szCs w:val="18"/>
                <w:lang w:eastAsia="en-ZA"/>
              </w:rPr>
              <w:t xml:space="preserve"> Map provided showing planned housing projects in relation to Integration Zones, prioritised marginalised residential areas and economic nodes.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5C0C6D" w:rsidRPr="008F0EF3" w:rsidRDefault="005C0C6D" w:rsidP="005C0C6D">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8F519B" w:rsidRPr="008F0EF3" w:rsidRDefault="005C0C6D" w:rsidP="005C0C6D">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D71C06" w:rsidRPr="008F0EF3">
              <w:rPr>
                <w:rFonts w:ascii="Arial" w:eastAsia="Times New Roman" w:hAnsi="Arial" w:cs="Arial"/>
                <w:sz w:val="18"/>
                <w:szCs w:val="18"/>
                <w:lang w:eastAsia="en-ZA"/>
              </w:rPr>
              <w:t>2.1.2.1.10</w:t>
            </w:r>
            <w:r w:rsidR="00D71C06"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Housing and figure 28 including the narrative of this section.</w:t>
            </w:r>
          </w:p>
          <w:p w:rsidR="00311B2E" w:rsidRPr="008F0EF3" w:rsidRDefault="00311B2E" w:rsidP="00311B2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Annexure “G”  shows detail of housing programme in relation to the Integration Zones.</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2498"/>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Strengthening alignment of public transport and housing plans:</w:t>
            </w:r>
            <w:r w:rsidRPr="008F519B">
              <w:rPr>
                <w:rFonts w:ascii="Calibri" w:eastAsia="Times New Roman" w:hAnsi="Calibri" w:cs="Calibri"/>
                <w:color w:val="000000"/>
                <w:sz w:val="18"/>
                <w:szCs w:val="18"/>
                <w:lang w:eastAsia="en-ZA"/>
              </w:rPr>
              <w:t xml:space="preserve"> Description of integration of public transport network and human settlement development planning and integrated prioritisation, with a clear focus on spatially targeted areas and within a clear spatial and land use plan (MSDF). Description of interventions required/ underway to align planned housing and transport investment projects to the </w:t>
            </w:r>
            <w:r w:rsidRPr="008F519B">
              <w:rPr>
                <w:rFonts w:ascii="Calibri" w:eastAsia="Times New Roman" w:hAnsi="Calibri" w:cs="Calibri"/>
                <w:color w:val="000000"/>
                <w:sz w:val="18"/>
                <w:szCs w:val="18"/>
                <w:lang w:eastAsia="en-ZA"/>
              </w:rPr>
              <w:lastRenderedPageBreak/>
              <w:t>priority spatially targeted areas  with clear time frames.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lastRenderedPageBreak/>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tcPr>
          <w:p w:rsidR="008F519B" w:rsidRPr="008F0EF3" w:rsidRDefault="0003212A" w:rsidP="0003212A">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 xml:space="preserve">Gold – Section </w:t>
            </w:r>
            <w:r w:rsidR="00D71C06" w:rsidRPr="008F0EF3">
              <w:rPr>
                <w:rFonts w:ascii="Arial" w:eastAsia="Times New Roman" w:hAnsi="Arial" w:cs="Arial"/>
                <w:sz w:val="18"/>
                <w:szCs w:val="18"/>
                <w:lang w:eastAsia="en-ZA"/>
              </w:rPr>
              <w:t>2.1.2.1.10</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1778"/>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Strengthening alignment of public transport and housing plans:</w:t>
            </w:r>
            <w:r w:rsidRPr="008F519B">
              <w:rPr>
                <w:rFonts w:ascii="Calibri" w:eastAsia="Times New Roman" w:hAnsi="Calibri" w:cs="Calibri"/>
                <w:color w:val="000000"/>
                <w:sz w:val="18"/>
                <w:szCs w:val="18"/>
                <w:lang w:eastAsia="en-ZA"/>
              </w:rPr>
              <w:t xml:space="preserve"> Showcase  of at least one Integration Zone demonstrating the alignment of public transport investments with identified catalytic urban development programme with a description of how this provides public transport access to specific and named housing projects in the area.</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CF0FCE"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8F519B" w:rsidRPr="008F0EF3" w:rsidRDefault="00CF0FCE"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F</w:t>
            </w:r>
            <w:r w:rsidR="0003212A" w:rsidRPr="008F0EF3">
              <w:rPr>
                <w:rFonts w:ascii="Arial" w:eastAsia="Times New Roman" w:hAnsi="Arial" w:cs="Arial"/>
                <w:sz w:val="18"/>
                <w:szCs w:val="18"/>
                <w:lang w:eastAsia="en-ZA"/>
              </w:rPr>
              <w:t xml:space="preserve">ulfilled in respect of both Integration Zones 1 and 2 under section </w:t>
            </w:r>
            <w:r w:rsidR="00D71C06" w:rsidRPr="008F0EF3">
              <w:rPr>
                <w:rFonts w:ascii="Arial" w:eastAsia="Times New Roman" w:hAnsi="Arial" w:cs="Arial"/>
                <w:sz w:val="18"/>
                <w:szCs w:val="18"/>
                <w:lang w:eastAsia="en-ZA"/>
              </w:rPr>
              <w:t>2.1.2.1.5</w:t>
            </w:r>
            <w:r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and the inclusion of Njoli – transit spine alignment – Figure 14, Zanemvula Figure 15</w:t>
            </w:r>
          </w:p>
          <w:p w:rsidR="00CF0FCE" w:rsidRPr="008F0EF3" w:rsidRDefault="00CF0FCE"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Cleary Park Figure 16</w:t>
            </w:r>
          </w:p>
          <w:p w:rsidR="00CF0FCE" w:rsidRPr="008F0EF3" w:rsidRDefault="00CF0FCE" w:rsidP="008F519B">
            <w:pPr>
              <w:spacing w:after="0" w:line="240" w:lineRule="auto"/>
              <w:rPr>
                <w:rFonts w:ascii="Arial" w:eastAsia="Times New Roman" w:hAnsi="Arial" w:cs="Arial"/>
                <w:color w:val="FF0000"/>
                <w:sz w:val="18"/>
                <w:szCs w:val="18"/>
                <w:lang w:eastAsia="en-ZA"/>
              </w:rPr>
            </w:pPr>
          </w:p>
          <w:p w:rsidR="00CF0FCE" w:rsidRPr="008F0EF3" w:rsidRDefault="00CF0FCE" w:rsidP="008F519B">
            <w:pPr>
              <w:spacing w:after="0" w:line="240" w:lineRule="auto"/>
              <w:rPr>
                <w:rFonts w:ascii="Arial" w:eastAsia="Times New Roman" w:hAnsi="Arial" w:cs="Arial"/>
                <w:color w:val="FF0000"/>
                <w:sz w:val="18"/>
                <w:szCs w:val="18"/>
                <w:lang w:eastAsia="en-ZA"/>
              </w:rPr>
            </w:pP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0F1CFE" w:rsidRPr="00542C77" w:rsidTr="008F0EF3">
        <w:trPr>
          <w:trHeight w:val="138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Precinct Planning:</w:t>
            </w:r>
            <w:r w:rsidRPr="008F519B">
              <w:rPr>
                <w:rFonts w:ascii="Calibri" w:eastAsia="Times New Roman" w:hAnsi="Calibri" w:cs="Calibri"/>
                <w:color w:val="000000"/>
                <w:sz w:val="18"/>
                <w:szCs w:val="18"/>
                <w:lang w:eastAsia="en-ZA"/>
              </w:rPr>
              <w:t xml:space="preserve"> Prioritised Precinct Plan/ concept mapped and </w:t>
            </w:r>
            <w:proofErr w:type="spellStart"/>
            <w:r w:rsidRPr="008F519B">
              <w:rPr>
                <w:rFonts w:ascii="Calibri" w:eastAsia="Times New Roman" w:hAnsi="Calibri" w:cs="Calibri"/>
                <w:color w:val="000000"/>
                <w:sz w:val="18"/>
                <w:szCs w:val="18"/>
                <w:lang w:eastAsia="en-ZA"/>
              </w:rPr>
              <w:t>priortiised</w:t>
            </w:r>
            <w:proofErr w:type="spellEnd"/>
            <w:r w:rsidRPr="008F519B">
              <w:rPr>
                <w:rFonts w:ascii="Calibri" w:eastAsia="Times New Roman" w:hAnsi="Calibri" w:cs="Calibri"/>
                <w:color w:val="000000"/>
                <w:sz w:val="18"/>
                <w:szCs w:val="18"/>
                <w:lang w:eastAsia="en-ZA"/>
              </w:rPr>
              <w:t xml:space="preserve"> precinct interventions identified. </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8F519B" w:rsidRPr="008F0EF3" w:rsidRDefault="00CF0FCE"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CF0FCE" w:rsidRPr="008F0EF3" w:rsidRDefault="00CF0FCE"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Narrative </w:t>
            </w:r>
            <w:r w:rsidR="00D71C06" w:rsidRPr="008F0EF3">
              <w:rPr>
                <w:rFonts w:ascii="Arial" w:eastAsia="Times New Roman" w:hAnsi="Arial" w:cs="Arial"/>
                <w:sz w:val="18"/>
                <w:szCs w:val="18"/>
                <w:lang w:eastAsia="en-ZA"/>
              </w:rPr>
              <w:t>2.1.2.1.6</w:t>
            </w:r>
          </w:p>
          <w:p w:rsidR="00CF0FCE" w:rsidRPr="008F0EF3" w:rsidRDefault="00CF0FCE" w:rsidP="00CF0FCE">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And all attendant mapping</w:t>
            </w:r>
            <w:r w:rsidR="00CD1B56" w:rsidRPr="008F0EF3">
              <w:rPr>
                <w:rFonts w:ascii="Arial" w:eastAsia="Times New Roman" w:hAnsi="Arial" w:cs="Arial"/>
                <w:sz w:val="18"/>
                <w:szCs w:val="18"/>
                <w:lang w:eastAsia="en-ZA"/>
              </w:rPr>
              <w:t xml:space="preserve"> in these sections</w:t>
            </w:r>
            <w:r w:rsidRPr="008F0EF3">
              <w:rPr>
                <w:rFonts w:ascii="Arial" w:eastAsia="Times New Roman" w:hAnsi="Arial" w:cs="Arial"/>
                <w:sz w:val="18"/>
                <w:szCs w:val="18"/>
                <w:lang w:eastAsia="en-ZA"/>
              </w:rPr>
              <w:t>.</w:t>
            </w:r>
          </w:p>
        </w:tc>
        <w:tc>
          <w:tcPr>
            <w:tcW w:w="1843" w:type="dxa"/>
            <w:tcBorders>
              <w:top w:val="nil"/>
              <w:left w:val="nil"/>
              <w:bottom w:val="single" w:sz="4" w:space="0" w:color="auto"/>
              <w:right w:val="single" w:sz="4" w:space="0" w:color="auto"/>
            </w:tcBorders>
            <w:shd w:val="clear" w:color="auto" w:fill="auto"/>
            <w:noWrap/>
            <w:hideMark/>
          </w:tcPr>
          <w:p w:rsidR="008F519B" w:rsidRPr="00542C77" w:rsidRDefault="008F519B" w:rsidP="008F519B">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009"/>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Precinct Planning: </w:t>
            </w:r>
            <w:r w:rsidRPr="008F519B">
              <w:rPr>
                <w:rFonts w:ascii="Calibri" w:eastAsia="Times New Roman" w:hAnsi="Calibri" w:cs="Calibri"/>
                <w:color w:val="000000"/>
                <w:sz w:val="18"/>
                <w:szCs w:val="18"/>
                <w:lang w:eastAsia="en-ZA"/>
              </w:rPr>
              <w:t xml:space="preserve"> Evidence of commitment of relevant provincial, national and SOE sectors to priority precinct plan.</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tcPr>
          <w:p w:rsidR="00CF0FCE" w:rsidRPr="008F0EF3" w:rsidRDefault="00CF0FCE"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 Gold</w:t>
            </w:r>
          </w:p>
          <w:p w:rsidR="00CF0FCE" w:rsidRPr="008F0EF3" w:rsidRDefault="00CF0FCE" w:rsidP="00D71C06">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Huge strides have been made in the last financial year with regard to interactions with SOE’s and Government Departments. Processes are in place for the coming year to enhance the information coming from these engagements. This is covered, inter alia, under section </w:t>
            </w:r>
            <w:r w:rsidR="00D71C06" w:rsidRPr="008F0EF3">
              <w:rPr>
                <w:rFonts w:ascii="Arial" w:eastAsia="Times New Roman" w:hAnsi="Arial" w:cs="Arial"/>
                <w:sz w:val="18"/>
                <w:szCs w:val="18"/>
                <w:lang w:eastAsia="en-ZA"/>
              </w:rPr>
              <w:t>3.3.2</w:t>
            </w:r>
            <w:r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of the BEPP.</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2052"/>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Informal Settlements:</w:t>
            </w:r>
            <w:r w:rsidRPr="008F519B">
              <w:rPr>
                <w:rFonts w:ascii="Calibri" w:eastAsia="Times New Roman" w:hAnsi="Calibri" w:cs="Calibri"/>
                <w:color w:val="000000"/>
                <w:sz w:val="18"/>
                <w:szCs w:val="18"/>
                <w:lang w:eastAsia="en-ZA"/>
              </w:rPr>
              <w:t xml:space="preserve"> Table supplied indicating status of detailed planning/development of prioritised informal settlements (Name of settlement, map reference number, UISP Phase, Key issues to be resolved) and whether the prioritised informal settlement is within an Integration Zone or outside of the Integration Zone(s) and the rationale for prioritisation outside of the IZ.</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CF0FCE" w:rsidRDefault="00CF0FCE" w:rsidP="00CF0FCE">
            <w:pPr>
              <w:spacing w:after="0" w:line="240" w:lineRule="auto"/>
              <w:jc w:val="center"/>
              <w:rPr>
                <w:rFonts w:ascii="Calibri" w:eastAsia="Times New Roman" w:hAnsi="Calibri" w:cs="Calibri"/>
                <w:sz w:val="18"/>
                <w:szCs w:val="18"/>
                <w:lang w:eastAsia="en-ZA"/>
              </w:rPr>
            </w:pPr>
            <w:r w:rsidRPr="00CF0FCE">
              <w:rPr>
                <w:rFonts w:ascii="Calibri" w:eastAsia="Times New Roman" w:hAnsi="Calibri" w:cs="Calibri"/>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CF0FCE"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r w:rsidR="00CD1B56" w:rsidRPr="008F0EF3">
              <w:rPr>
                <w:rFonts w:ascii="Arial" w:eastAsia="Times New Roman" w:hAnsi="Arial" w:cs="Arial"/>
                <w:sz w:val="18"/>
                <w:szCs w:val="18"/>
                <w:lang w:eastAsia="en-ZA"/>
              </w:rPr>
              <w:t>/Platinum</w:t>
            </w:r>
          </w:p>
          <w:p w:rsidR="00CF0FCE" w:rsidRPr="008F0EF3" w:rsidRDefault="00D71C06"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2.1.2.1.6</w:t>
            </w:r>
            <w:r w:rsidR="005804B6" w:rsidRPr="008F0EF3">
              <w:rPr>
                <w:rFonts w:ascii="Arial" w:eastAsia="Times New Roman" w:hAnsi="Arial" w:cs="Arial"/>
                <w:sz w:val="18"/>
                <w:szCs w:val="18"/>
                <w:lang w:eastAsia="en-ZA"/>
              </w:rPr>
              <w:t xml:space="preserve"> and </w:t>
            </w:r>
            <w:r w:rsidRPr="008F0EF3">
              <w:rPr>
                <w:rFonts w:ascii="Arial" w:eastAsia="Times New Roman" w:hAnsi="Arial" w:cs="Arial"/>
                <w:sz w:val="18"/>
                <w:szCs w:val="18"/>
                <w:lang w:eastAsia="en-ZA"/>
              </w:rPr>
              <w:t>2.1.2.1.10</w:t>
            </w:r>
          </w:p>
          <w:p w:rsidR="00CF0FCE" w:rsidRPr="008F0EF3" w:rsidRDefault="00CF0FCE" w:rsidP="00CD1B56">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Extensive information and mapping </w:t>
            </w:r>
            <w:r w:rsidR="00CD1B56" w:rsidRPr="008F0EF3">
              <w:rPr>
                <w:rFonts w:ascii="Arial" w:eastAsia="Times New Roman" w:hAnsi="Arial" w:cs="Arial"/>
                <w:sz w:val="18"/>
                <w:szCs w:val="18"/>
                <w:lang w:eastAsia="en-ZA"/>
              </w:rPr>
              <w:t>provided (including Annexures F and G ).</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872"/>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D71C06">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Informal Settlements:</w:t>
            </w:r>
            <w:r w:rsidRPr="008F519B">
              <w:rPr>
                <w:rFonts w:ascii="Calibri" w:eastAsia="Times New Roman" w:hAnsi="Calibri" w:cs="Calibri"/>
                <w:color w:val="000000"/>
                <w:sz w:val="18"/>
                <w:szCs w:val="18"/>
                <w:lang w:eastAsia="en-ZA"/>
              </w:rPr>
              <w:t xml:space="preserve"> Approved strategy, plan and programme</w:t>
            </w:r>
            <w:r w:rsidR="00D71C06">
              <w:rPr>
                <w:rFonts w:ascii="Calibri" w:eastAsia="Times New Roman" w:hAnsi="Calibri" w:cs="Calibri"/>
                <w:color w:val="000000"/>
                <w:sz w:val="18"/>
                <w:szCs w:val="18"/>
                <w:lang w:eastAsia="en-ZA"/>
              </w:rPr>
              <w:t xml:space="preserve"> for informal sector upgrading </w:t>
            </w:r>
            <w:r w:rsidRPr="008F519B">
              <w:rPr>
                <w:rFonts w:ascii="Calibri" w:eastAsia="Times New Roman" w:hAnsi="Calibri" w:cs="Calibri"/>
                <w:color w:val="000000"/>
                <w:sz w:val="18"/>
                <w:szCs w:val="18"/>
                <w:lang w:eastAsia="en-ZA"/>
              </w:rPr>
              <w:t>incorporated clearly showing the prioritised upgrading projects and related allocations for medium-term funding.</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5804B6" w:rsidRPr="008F0EF3" w:rsidRDefault="005804B6"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D71C06" w:rsidRPr="008F0EF3" w:rsidRDefault="00D71C06" w:rsidP="00D71C06">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2.1.2.1.6 and 2.1.2.1.10</w:t>
            </w:r>
          </w:p>
          <w:p w:rsidR="00CF0FCE" w:rsidRPr="008F0EF3" w:rsidRDefault="00CD1B56" w:rsidP="008F0EF3">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Extensive information and mapping provided (including Annexures F and G) including rationale and what is being done regarding the NMBM Housing Strategy Review. </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309"/>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Spatial Targeting: Other Marginalised Residential Areas: </w:t>
            </w:r>
            <w:r w:rsidRPr="008F519B">
              <w:rPr>
                <w:rFonts w:ascii="Calibri" w:eastAsia="Times New Roman" w:hAnsi="Calibri" w:cs="Calibri"/>
                <w:color w:val="000000"/>
                <w:sz w:val="18"/>
                <w:szCs w:val="18"/>
                <w:lang w:eastAsia="en-ZA"/>
              </w:rPr>
              <w:t xml:space="preserve">Other marginalised residential </w:t>
            </w:r>
            <w:proofErr w:type="gramStart"/>
            <w:r w:rsidRPr="008F519B">
              <w:rPr>
                <w:rFonts w:ascii="Calibri" w:eastAsia="Times New Roman" w:hAnsi="Calibri" w:cs="Calibri"/>
                <w:color w:val="000000"/>
                <w:sz w:val="18"/>
                <w:szCs w:val="18"/>
                <w:lang w:eastAsia="en-ZA"/>
              </w:rPr>
              <w:t>areas  within</w:t>
            </w:r>
            <w:proofErr w:type="gramEnd"/>
            <w:r w:rsidRPr="008F519B">
              <w:rPr>
                <w:rFonts w:ascii="Calibri" w:eastAsia="Times New Roman" w:hAnsi="Calibri" w:cs="Calibri"/>
                <w:color w:val="000000"/>
                <w:sz w:val="18"/>
                <w:szCs w:val="18"/>
                <w:lang w:eastAsia="en-ZA"/>
              </w:rPr>
              <w:t xml:space="preserve"> IZ(s) and outside of IZ(s) identified and prioritised. Spatial logic for priority marginalised residential areas outside of IZ(s) outlined.</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5804B6"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5804B6" w:rsidRPr="008F0EF3" w:rsidRDefault="004C6B5F" w:rsidP="004C6B5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w:t>
            </w:r>
            <w:r w:rsidR="005804B6" w:rsidRPr="008F0EF3">
              <w:rPr>
                <w:rFonts w:ascii="Arial" w:eastAsia="Times New Roman" w:hAnsi="Arial" w:cs="Arial"/>
                <w:sz w:val="18"/>
                <w:szCs w:val="18"/>
                <w:lang w:eastAsia="en-ZA"/>
              </w:rPr>
              <w:t>1.2.1.7</w:t>
            </w:r>
            <w:r w:rsidR="007E7450" w:rsidRPr="008F0EF3">
              <w:rPr>
                <w:rFonts w:ascii="Arial" w:eastAsia="Times New Roman" w:hAnsi="Arial" w:cs="Arial"/>
                <w:sz w:val="18"/>
                <w:szCs w:val="18"/>
                <w:lang w:eastAsia="en-ZA"/>
              </w:rPr>
              <w:t xml:space="preserve"> and Figure 19</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403"/>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Other Marginalised Residential Areas:</w:t>
            </w:r>
            <w:r w:rsidRPr="008F519B">
              <w:rPr>
                <w:rFonts w:ascii="Calibri" w:eastAsia="Times New Roman" w:hAnsi="Calibri" w:cs="Calibri"/>
                <w:color w:val="000000"/>
                <w:sz w:val="18"/>
                <w:szCs w:val="18"/>
                <w:lang w:eastAsia="en-ZA"/>
              </w:rPr>
              <w:t xml:space="preserve"> The existence of a strategy for the development of these priority areas or whether a strategy is under development for these </w:t>
            </w:r>
            <w:proofErr w:type="gramStart"/>
            <w:r w:rsidRPr="008F519B">
              <w:rPr>
                <w:rFonts w:ascii="Calibri" w:eastAsia="Times New Roman" w:hAnsi="Calibri" w:cs="Calibri"/>
                <w:color w:val="000000"/>
                <w:sz w:val="18"/>
                <w:szCs w:val="18"/>
                <w:lang w:eastAsia="en-ZA"/>
              </w:rPr>
              <w:t>areas  is</w:t>
            </w:r>
            <w:proofErr w:type="gramEnd"/>
            <w:r w:rsidRPr="008F519B">
              <w:rPr>
                <w:rFonts w:ascii="Calibri" w:eastAsia="Times New Roman" w:hAnsi="Calibri" w:cs="Calibri"/>
                <w:color w:val="000000"/>
                <w:sz w:val="18"/>
                <w:szCs w:val="18"/>
                <w:lang w:eastAsia="en-ZA"/>
              </w:rPr>
              <w:t xml:space="preserve"> noted. </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7E7450"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7E7450" w:rsidRPr="008F0EF3" w:rsidRDefault="004C6B5F" w:rsidP="004C6B5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w:t>
            </w:r>
            <w:r w:rsidR="007E7450" w:rsidRPr="008F0EF3">
              <w:rPr>
                <w:rFonts w:ascii="Arial" w:eastAsia="Times New Roman" w:hAnsi="Arial" w:cs="Arial"/>
                <w:sz w:val="18"/>
                <w:szCs w:val="18"/>
                <w:lang w:eastAsia="en-ZA"/>
              </w:rPr>
              <w:t>.</w:t>
            </w:r>
            <w:r w:rsidRPr="008F0EF3">
              <w:rPr>
                <w:rFonts w:ascii="Arial" w:eastAsia="Times New Roman" w:hAnsi="Arial" w:cs="Arial"/>
                <w:sz w:val="18"/>
                <w:szCs w:val="18"/>
                <w:lang w:eastAsia="en-ZA"/>
              </w:rPr>
              <w:t>2.1.7- last paragraph before 2.1</w:t>
            </w:r>
            <w:r w:rsidR="007E7450" w:rsidRPr="008F0EF3">
              <w:rPr>
                <w:rFonts w:ascii="Arial" w:eastAsia="Times New Roman" w:hAnsi="Arial" w:cs="Arial"/>
                <w:sz w:val="18"/>
                <w:szCs w:val="18"/>
                <w:lang w:eastAsia="en-ZA"/>
              </w:rPr>
              <w:t>.2.1.8</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103"/>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Spatial Targeting: Economic Nodes: </w:t>
            </w:r>
            <w:r w:rsidRPr="008F519B">
              <w:rPr>
                <w:rFonts w:ascii="Calibri" w:eastAsia="Times New Roman" w:hAnsi="Calibri" w:cs="Calibri"/>
                <w:color w:val="000000"/>
                <w:sz w:val="18"/>
                <w:szCs w:val="18"/>
                <w:lang w:eastAsia="en-ZA"/>
              </w:rPr>
              <w:t>Diagnostic (lifecycle) analysis of economic nodes is presented and nodes are accordingly categorised and prioritised.</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7E7450"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7E7450" w:rsidRPr="008F0EF3" w:rsidRDefault="004C6B5F" w:rsidP="004C6B5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w:t>
            </w:r>
            <w:r w:rsidR="007E7450" w:rsidRPr="008F0EF3">
              <w:rPr>
                <w:rFonts w:ascii="Arial" w:eastAsia="Times New Roman" w:hAnsi="Arial" w:cs="Arial"/>
                <w:sz w:val="18"/>
                <w:szCs w:val="18"/>
                <w:lang w:eastAsia="en-ZA"/>
              </w:rPr>
              <w:t>.2.1.8</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923"/>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D71C06">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Priority Economic Nodes in Priority IZ(s):</w:t>
            </w:r>
            <w:r w:rsidRPr="008F519B">
              <w:rPr>
                <w:rFonts w:ascii="Calibri" w:eastAsia="Times New Roman" w:hAnsi="Calibri" w:cs="Calibri"/>
                <w:color w:val="000000"/>
                <w:sz w:val="18"/>
                <w:szCs w:val="18"/>
                <w:lang w:eastAsia="en-ZA"/>
              </w:rPr>
              <w:t xml:space="preserve"> High level prioritised intervention strategy correlated with diagnostic and categorisation.  </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4C6B5F" w:rsidRPr="008F0EF3" w:rsidRDefault="007E7450"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7E7450" w:rsidRPr="008F0EF3" w:rsidRDefault="004C6B5F" w:rsidP="004C6B5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2.1.2</w:t>
            </w:r>
            <w:r w:rsidR="007E7450" w:rsidRPr="008F0EF3">
              <w:rPr>
                <w:rFonts w:ascii="Arial" w:eastAsia="Times New Roman" w:hAnsi="Arial" w:cs="Arial"/>
                <w:sz w:val="18"/>
                <w:szCs w:val="18"/>
                <w:lang w:eastAsia="en-ZA"/>
              </w:rPr>
              <w:t>.1.8</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380"/>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Targeting: Priority Economic Nodes outside of IZ(s):</w:t>
            </w:r>
            <w:r w:rsidRPr="008F519B">
              <w:rPr>
                <w:rFonts w:ascii="Calibri" w:eastAsia="Times New Roman" w:hAnsi="Calibri" w:cs="Calibri"/>
                <w:color w:val="000000"/>
                <w:sz w:val="18"/>
                <w:szCs w:val="18"/>
                <w:lang w:eastAsia="en-ZA"/>
              </w:rPr>
              <w:t xml:space="preserve"> Spatial logic for prioritisation of economic nodes outside of IZ(s) explained and whether there is a strategy for the development of these nodes exists or is under development is noted. </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1C52D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Gold/Platinum</w:t>
            </w:r>
          </w:p>
          <w:p w:rsidR="001C52DF" w:rsidRPr="008F0EF3" w:rsidRDefault="001C52D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Extensive section</w:t>
            </w:r>
          </w:p>
          <w:p w:rsidR="001C52DF" w:rsidRPr="008F0EF3" w:rsidRDefault="004C6B5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w:t>
            </w:r>
            <w:r w:rsidR="001C52DF" w:rsidRPr="008F0EF3">
              <w:rPr>
                <w:rFonts w:ascii="Arial" w:eastAsia="Times New Roman" w:hAnsi="Arial" w:cs="Arial"/>
                <w:sz w:val="18"/>
                <w:szCs w:val="18"/>
                <w:lang w:eastAsia="en-ZA"/>
              </w:rPr>
              <w:t>.2.1.8- Specifically the section Economic Node Prioritisation and features.</w:t>
            </w:r>
          </w:p>
          <w:p w:rsidR="001C52DF" w:rsidRPr="008F0EF3" w:rsidRDefault="001C52D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Figure 27</w:t>
            </w:r>
          </w:p>
          <w:p w:rsidR="001C52DF" w:rsidRPr="008F0EF3" w:rsidRDefault="001C52D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 Planning for Economic Nodes </w:t>
            </w:r>
          </w:p>
          <w:p w:rsidR="001C52DF" w:rsidRPr="008F0EF3" w:rsidRDefault="004C6B5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2.1.</w:t>
            </w:r>
            <w:r w:rsidR="001C52DF" w:rsidRPr="008F0EF3">
              <w:rPr>
                <w:rFonts w:ascii="Arial" w:eastAsia="Times New Roman" w:hAnsi="Arial" w:cs="Arial"/>
                <w:sz w:val="18"/>
                <w:szCs w:val="18"/>
                <w:lang w:eastAsia="en-ZA"/>
              </w:rPr>
              <w:t>2.1.9</w:t>
            </w:r>
          </w:p>
          <w:p w:rsidR="001C52DF" w:rsidRPr="008F0EF3" w:rsidRDefault="001C52DF" w:rsidP="00CF0FCE">
            <w:pPr>
              <w:spacing w:after="0" w:line="240" w:lineRule="auto"/>
              <w:rPr>
                <w:rFonts w:ascii="Arial" w:eastAsia="Times New Roman" w:hAnsi="Arial" w:cs="Arial"/>
                <w:sz w:val="18"/>
                <w:szCs w:val="18"/>
                <w:lang w:eastAsia="en-ZA"/>
              </w:rPr>
            </w:pPr>
          </w:p>
          <w:p w:rsidR="00D71C06" w:rsidRPr="008F0EF3" w:rsidRDefault="00D71C06" w:rsidP="00CF0FCE">
            <w:pPr>
              <w:spacing w:after="0" w:line="240" w:lineRule="auto"/>
              <w:rPr>
                <w:rFonts w:ascii="Arial" w:eastAsia="Times New Roman" w:hAnsi="Arial" w:cs="Arial"/>
                <w:sz w:val="18"/>
                <w:szCs w:val="18"/>
                <w:lang w:eastAsia="en-ZA"/>
              </w:rPr>
            </w:pP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032"/>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nil"/>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Consolidation</w:t>
            </w:r>
            <w:r w:rsidRPr="008F519B">
              <w:rPr>
                <w:rFonts w:ascii="Calibri" w:eastAsia="Times New Roman" w:hAnsi="Calibri" w:cs="Calibri"/>
                <w:color w:val="000000"/>
                <w:sz w:val="18"/>
                <w:szCs w:val="18"/>
                <w:lang w:eastAsia="en-ZA"/>
              </w:rPr>
              <w:t xml:space="preserve">: There are transversal institutional mechanisms in place for planning and implementation in spatial targeting categories. </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1C52DF" w:rsidRPr="008F0EF3" w:rsidRDefault="001C52DF" w:rsidP="001C52D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Platinum</w:t>
            </w:r>
          </w:p>
          <w:p w:rsidR="00CF0FCE" w:rsidRPr="008F0EF3" w:rsidRDefault="001C52DF" w:rsidP="001C52D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There is a very clear process specifically developed through the Strategic Planning Steering Committee and BEPP Multi Sectoral Task Team to achieve this. Described in detail </w:t>
            </w:r>
            <w:r w:rsidR="00D71C06" w:rsidRPr="008F0EF3">
              <w:rPr>
                <w:rFonts w:ascii="Arial" w:eastAsia="Times New Roman" w:hAnsi="Arial" w:cs="Arial"/>
                <w:sz w:val="18"/>
                <w:szCs w:val="18"/>
                <w:lang w:eastAsia="en-ZA"/>
              </w:rPr>
              <w:t xml:space="preserve">               </w:t>
            </w:r>
            <w:r w:rsidRPr="008F0EF3">
              <w:rPr>
                <w:rFonts w:ascii="Arial" w:eastAsia="Times New Roman" w:hAnsi="Arial" w:cs="Arial"/>
                <w:sz w:val="18"/>
                <w:szCs w:val="18"/>
                <w:lang w:eastAsia="en-ZA"/>
              </w:rPr>
              <w:t>Section 1.2.5</w:t>
            </w:r>
          </w:p>
          <w:p w:rsidR="001C52DF" w:rsidRPr="008F0EF3" w:rsidRDefault="001C52DF" w:rsidP="001C52DF">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1.5 addresses this specifically</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542C77" w:rsidTr="008F0EF3">
        <w:trPr>
          <w:trHeight w:val="1032"/>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2673" w:type="dxa"/>
            <w:tcBorders>
              <w:top w:val="single" w:sz="4" w:space="0" w:color="auto"/>
              <w:left w:val="nil"/>
              <w:bottom w:val="nil"/>
              <w:right w:val="single" w:sz="4" w:space="0" w:color="auto"/>
            </w:tcBorders>
            <w:shd w:val="clear" w:color="auto" w:fill="auto"/>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Progression:</w:t>
            </w:r>
            <w:r w:rsidRPr="008F519B">
              <w:rPr>
                <w:rFonts w:ascii="Calibri" w:eastAsia="Times New Roman" w:hAnsi="Calibri" w:cs="Calibri"/>
                <w:color w:val="000000"/>
                <w:sz w:val="18"/>
                <w:szCs w:val="18"/>
                <w:lang w:eastAsia="en-ZA"/>
              </w:rPr>
              <w:t xml:space="preserve"> The effectiveness of institutional  arrangements is reflected on, lessons are learnt and arrangements are adapted</w:t>
            </w:r>
          </w:p>
        </w:tc>
        <w:tc>
          <w:tcPr>
            <w:tcW w:w="150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30" w:type="dxa"/>
            <w:gridSpan w:val="2"/>
            <w:tcBorders>
              <w:top w:val="nil"/>
              <w:left w:val="nil"/>
              <w:bottom w:val="single" w:sz="4" w:space="0" w:color="auto"/>
              <w:right w:val="single" w:sz="4" w:space="0" w:color="auto"/>
            </w:tcBorders>
            <w:shd w:val="clear" w:color="auto" w:fill="auto"/>
            <w:hideMark/>
          </w:tcPr>
          <w:p w:rsidR="00CF0FCE" w:rsidRPr="008F0EF3" w:rsidRDefault="001C52DF" w:rsidP="00CF0FCE">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1C52DF" w:rsidRPr="00542C77" w:rsidRDefault="001C52DF" w:rsidP="00CF0FCE">
            <w:pPr>
              <w:spacing w:after="0" w:line="240" w:lineRule="auto"/>
              <w:rPr>
                <w:rFonts w:eastAsia="Times New Roman" w:cstheme="minorHAnsi"/>
                <w:color w:val="FF0000"/>
                <w:sz w:val="18"/>
                <w:szCs w:val="18"/>
                <w:lang w:eastAsia="en-ZA"/>
              </w:rPr>
            </w:pPr>
            <w:r w:rsidRPr="008F0EF3">
              <w:rPr>
                <w:rFonts w:ascii="Arial" w:eastAsia="Times New Roman" w:hAnsi="Arial" w:cs="Arial"/>
                <w:sz w:val="18"/>
                <w:szCs w:val="18"/>
                <w:lang w:eastAsia="en-ZA"/>
              </w:rPr>
              <w:t xml:space="preserve">Section 1.3- Critical Analysis Of The Effectiveness Of Transversal Institutional Arrangements </w:t>
            </w:r>
          </w:p>
        </w:tc>
        <w:tc>
          <w:tcPr>
            <w:tcW w:w="1843" w:type="dxa"/>
            <w:tcBorders>
              <w:top w:val="nil"/>
              <w:left w:val="nil"/>
              <w:bottom w:val="single" w:sz="4" w:space="0" w:color="auto"/>
              <w:right w:val="single" w:sz="4" w:space="0" w:color="auto"/>
            </w:tcBorders>
            <w:shd w:val="clear" w:color="auto" w:fill="auto"/>
            <w:noWrap/>
            <w:hideMark/>
          </w:tcPr>
          <w:p w:rsidR="00CF0FCE" w:rsidRPr="00542C77" w:rsidRDefault="00CF0FCE" w:rsidP="00CF0FCE">
            <w:pPr>
              <w:spacing w:after="0" w:line="240" w:lineRule="auto"/>
              <w:rPr>
                <w:rFonts w:eastAsia="Times New Roman" w:cstheme="minorHAnsi"/>
                <w:color w:val="000000"/>
                <w:sz w:val="18"/>
                <w:szCs w:val="18"/>
                <w:lang w:eastAsia="en-ZA"/>
              </w:rPr>
            </w:pPr>
            <w:r w:rsidRPr="00542C77">
              <w:rPr>
                <w:rFonts w:eastAsia="Times New Roman" w:cstheme="minorHAnsi"/>
                <w:color w:val="000000"/>
                <w:sz w:val="18"/>
                <w:szCs w:val="18"/>
                <w:lang w:eastAsia="en-ZA"/>
              </w:rPr>
              <w:t> </w:t>
            </w:r>
          </w:p>
        </w:tc>
      </w:tr>
      <w:tr w:rsidR="00CF0FCE" w:rsidRPr="008F519B" w:rsidTr="008F0EF3">
        <w:trPr>
          <w:trHeight w:val="263"/>
        </w:trPr>
        <w:tc>
          <w:tcPr>
            <w:tcW w:w="1580" w:type="dxa"/>
            <w:vMerge/>
            <w:tcBorders>
              <w:top w:val="nil"/>
              <w:left w:val="single" w:sz="4" w:space="0" w:color="auto"/>
              <w:bottom w:val="single" w:sz="4" w:space="0" w:color="000000"/>
              <w:right w:val="single" w:sz="4" w:space="0" w:color="auto"/>
            </w:tcBorders>
            <w:vAlign w:val="center"/>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p>
        </w:tc>
        <w:tc>
          <w:tcPr>
            <w:tcW w:w="8381" w:type="dxa"/>
            <w:gridSpan w:val="6"/>
            <w:tcBorders>
              <w:top w:val="single" w:sz="4" w:space="0" w:color="auto"/>
              <w:left w:val="nil"/>
              <w:bottom w:val="single" w:sz="4" w:space="0" w:color="auto"/>
              <w:right w:val="single" w:sz="4" w:space="0" w:color="000000"/>
            </w:tcBorders>
            <w:shd w:val="clear" w:color="000000" w:fill="DAEEF3"/>
            <w:hideMark/>
          </w:tcPr>
          <w:p w:rsidR="00CF0FCE" w:rsidRPr="008F519B" w:rsidRDefault="00CF0FCE" w:rsidP="00CF0FCE">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Section B Total</w:t>
            </w:r>
          </w:p>
        </w:tc>
        <w:tc>
          <w:tcPr>
            <w:tcW w:w="1103" w:type="dxa"/>
            <w:gridSpan w:val="2"/>
            <w:tcBorders>
              <w:top w:val="nil"/>
              <w:left w:val="nil"/>
              <w:bottom w:val="single" w:sz="4" w:space="0" w:color="auto"/>
              <w:right w:val="nil"/>
            </w:tcBorders>
            <w:shd w:val="clear" w:color="000000" w:fill="DAEEF3"/>
            <w:noWrap/>
            <w:hideMark/>
          </w:tcPr>
          <w:p w:rsidR="00CF0FCE" w:rsidRPr="008F519B" w:rsidRDefault="00CF0FCE" w:rsidP="00CF0FCE">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19" w:type="dxa"/>
            <w:tcBorders>
              <w:top w:val="nil"/>
              <w:left w:val="single" w:sz="4" w:space="0" w:color="auto"/>
              <w:bottom w:val="nil"/>
              <w:right w:val="nil"/>
            </w:tcBorders>
            <w:shd w:val="clear" w:color="auto" w:fill="auto"/>
            <w:noWrap/>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843" w:type="dxa"/>
            <w:tcBorders>
              <w:top w:val="nil"/>
              <w:left w:val="nil"/>
              <w:bottom w:val="nil"/>
              <w:right w:val="nil"/>
            </w:tcBorders>
            <w:shd w:val="clear" w:color="auto" w:fill="auto"/>
            <w:noWrap/>
            <w:hideMark/>
          </w:tcPr>
          <w:p w:rsidR="00CF0FCE" w:rsidRPr="008F519B" w:rsidRDefault="00CF0FCE" w:rsidP="00CF0FCE">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bl>
    <w:p w:rsidR="008F519B" w:rsidRDefault="008F519B" w:rsidP="00AA2470">
      <w:pPr>
        <w:rPr>
          <w:rFonts w:ascii="Arial" w:hAnsi="Arial" w:cs="Arial"/>
          <w:sz w:val="18"/>
          <w:szCs w:val="18"/>
        </w:rPr>
      </w:pPr>
    </w:p>
    <w:p w:rsidR="008F519B" w:rsidRDefault="008F519B" w:rsidP="00AA2470">
      <w:pPr>
        <w:rPr>
          <w:rFonts w:ascii="Arial" w:hAnsi="Arial" w:cs="Arial"/>
          <w:sz w:val="18"/>
          <w:szCs w:val="18"/>
        </w:rPr>
      </w:pPr>
    </w:p>
    <w:p w:rsidR="008F519B" w:rsidRDefault="008F519B">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C</w:t>
      </w:r>
    </w:p>
    <w:p w:rsidR="008F519B" w:rsidRDefault="008F519B" w:rsidP="00AA2470">
      <w:pPr>
        <w:rPr>
          <w:rFonts w:ascii="Arial" w:hAnsi="Arial" w:cs="Arial"/>
          <w:sz w:val="18"/>
          <w:szCs w:val="18"/>
        </w:rPr>
      </w:pPr>
    </w:p>
    <w:tbl>
      <w:tblPr>
        <w:tblW w:w="15026" w:type="dxa"/>
        <w:tblLook w:val="04A0" w:firstRow="1" w:lastRow="0" w:firstColumn="1" w:lastColumn="0" w:noHBand="0" w:noVBand="1"/>
      </w:tblPr>
      <w:tblGrid>
        <w:gridCol w:w="1596"/>
        <w:gridCol w:w="2657"/>
        <w:gridCol w:w="1516"/>
        <w:gridCol w:w="1436"/>
        <w:gridCol w:w="1456"/>
        <w:gridCol w:w="1356"/>
        <w:gridCol w:w="15"/>
        <w:gridCol w:w="1101"/>
        <w:gridCol w:w="15"/>
        <w:gridCol w:w="2035"/>
        <w:gridCol w:w="1843"/>
      </w:tblGrid>
      <w:tr w:rsidR="008F519B" w:rsidRPr="008F519B" w:rsidTr="008F519B">
        <w:trPr>
          <w:trHeight w:val="240"/>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3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5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5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5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240"/>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36"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56"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56"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05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495"/>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3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5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5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5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255"/>
          <w:tblHeader/>
        </w:trPr>
        <w:tc>
          <w:tcPr>
            <w:tcW w:w="1596"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57"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16"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36"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56"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56" w:type="dxa"/>
            <w:tcBorders>
              <w:top w:val="single" w:sz="8" w:space="0" w:color="auto"/>
              <w:left w:val="nil"/>
              <w:bottom w:val="nil"/>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20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8F519B" w:rsidRPr="008F519B" w:rsidTr="008F519B">
        <w:trPr>
          <w:trHeight w:val="503"/>
          <w:tblHeader/>
        </w:trPr>
        <w:tc>
          <w:tcPr>
            <w:tcW w:w="4253" w:type="dxa"/>
            <w:gridSpan w:val="2"/>
            <w:tcBorders>
              <w:top w:val="single" w:sz="8" w:space="0" w:color="auto"/>
              <w:left w:val="nil"/>
              <w:bottom w:val="single" w:sz="4" w:space="0" w:color="auto"/>
              <w:right w:val="single" w:sz="4" w:space="0" w:color="000000"/>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16"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2050"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8F519B">
        <w:trPr>
          <w:trHeight w:val="300"/>
        </w:trPr>
        <w:tc>
          <w:tcPr>
            <w:tcW w:w="10032" w:type="dxa"/>
            <w:gridSpan w:val="7"/>
            <w:tcBorders>
              <w:top w:val="single" w:sz="4" w:space="0" w:color="auto"/>
              <w:left w:val="single" w:sz="4" w:space="0" w:color="auto"/>
              <w:bottom w:val="single" w:sz="4" w:space="0" w:color="auto"/>
              <w:right w:val="nil"/>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Process</w:t>
            </w:r>
          </w:p>
        </w:tc>
        <w:tc>
          <w:tcPr>
            <w:tcW w:w="1116" w:type="dxa"/>
            <w:gridSpan w:val="2"/>
            <w:tcBorders>
              <w:top w:val="nil"/>
              <w:left w:val="single" w:sz="4" w:space="0" w:color="auto"/>
              <w:bottom w:val="nil"/>
              <w:right w:val="single" w:sz="4" w:space="0" w:color="auto"/>
            </w:tcBorders>
            <w:shd w:val="clear" w:color="000000" w:fill="DAEEF3"/>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2035" w:type="dxa"/>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BB176F">
        <w:trPr>
          <w:trHeight w:val="1260"/>
        </w:trPr>
        <w:tc>
          <w:tcPr>
            <w:tcW w:w="1596" w:type="dxa"/>
            <w:vMerge w:val="restart"/>
            <w:tcBorders>
              <w:top w:val="nil"/>
              <w:left w:val="nil"/>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C  Catalytic Urban Development Programme &amp; Preparation</w:t>
            </w:r>
          </w:p>
        </w:tc>
        <w:tc>
          <w:tcPr>
            <w:tcW w:w="2657" w:type="dxa"/>
            <w:tcBorders>
              <w:top w:val="nil"/>
              <w:left w:val="nil"/>
              <w:bottom w:val="nil"/>
              <w:right w:val="nil"/>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Rationale</w:t>
            </w:r>
            <w:r w:rsidRPr="008F519B">
              <w:rPr>
                <w:rFonts w:ascii="Calibri" w:eastAsia="Times New Roman" w:hAnsi="Calibri" w:cs="Calibri"/>
                <w:color w:val="000000"/>
                <w:sz w:val="18"/>
                <w:szCs w:val="18"/>
                <w:lang w:eastAsia="en-ZA"/>
              </w:rPr>
              <w:t>: A clear line of sight is evident from the integration of spatial targeting, public transport and human settlements planning to the catalytic urban development programme(s) and intergovernmental project pipeline</w:t>
            </w:r>
          </w:p>
        </w:tc>
        <w:tc>
          <w:tcPr>
            <w:tcW w:w="1516" w:type="dxa"/>
            <w:tcBorders>
              <w:top w:val="nil"/>
              <w:left w:val="single" w:sz="4" w:space="0" w:color="auto"/>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A95558"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AA2D57" w:rsidRPr="008F0EF3" w:rsidRDefault="00A95558"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Narrative </w:t>
            </w:r>
            <w:r w:rsidR="00BB176F" w:rsidRPr="008F0EF3">
              <w:rPr>
                <w:rFonts w:ascii="Arial" w:eastAsia="Times New Roman" w:hAnsi="Arial" w:cs="Arial"/>
                <w:sz w:val="18"/>
                <w:szCs w:val="18"/>
                <w:lang w:eastAsia="en-ZA"/>
              </w:rPr>
              <w:t>Section 3</w:t>
            </w:r>
            <w:r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and Figure 32 which locates the suite of catalytic programmes in the Integration Zones</w:t>
            </w:r>
            <w:r w:rsidR="00AA2D57" w:rsidRPr="008F0EF3">
              <w:rPr>
                <w:rFonts w:ascii="Arial" w:eastAsia="Times New Roman" w:hAnsi="Arial" w:cs="Arial"/>
                <w:sz w:val="18"/>
                <w:szCs w:val="18"/>
                <w:lang w:eastAsia="en-ZA"/>
              </w:rPr>
              <w:t xml:space="preserve"> </w:t>
            </w:r>
          </w:p>
          <w:p w:rsidR="00A95558" w:rsidRPr="008F0EF3" w:rsidRDefault="00AA2D57"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Annexure I and J  </w:t>
            </w:r>
          </w:p>
          <w:p w:rsidR="00A95558" w:rsidRPr="008F0EF3" w:rsidRDefault="00A95558" w:rsidP="008F519B">
            <w:pPr>
              <w:spacing w:after="0" w:line="240" w:lineRule="auto"/>
              <w:rPr>
                <w:rFonts w:ascii="Arial" w:eastAsia="Times New Roman" w:hAnsi="Arial" w:cs="Arial"/>
                <w:sz w:val="18"/>
                <w:szCs w:val="18"/>
                <w:lang w:eastAsia="en-ZA"/>
              </w:rPr>
            </w:pP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BB176F">
        <w:trPr>
          <w:trHeight w:val="1538"/>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single" w:sz="4" w:space="0" w:color="auto"/>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Catalytic Urban Development Programme:</w:t>
            </w:r>
            <w:r w:rsidRPr="008F519B">
              <w:rPr>
                <w:rFonts w:ascii="Calibri" w:eastAsia="Times New Roman" w:hAnsi="Calibri" w:cs="Calibri"/>
                <w:color w:val="000000"/>
                <w:sz w:val="18"/>
                <w:szCs w:val="18"/>
                <w:lang w:eastAsia="en-ZA"/>
              </w:rPr>
              <w:t xml:space="preserve"> Catalytic Urban Development Programmes for priority IZ(s) and priority precincts identified in prescribed template (Annexure 1 of the Supplementary Guideline). At least one should be identified for a priority precinct in a priority IZ.</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A95558"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2E5704"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Narrative </w:t>
            </w:r>
            <w:r w:rsidR="00BB176F" w:rsidRPr="008F0EF3">
              <w:rPr>
                <w:rFonts w:ascii="Arial" w:eastAsia="Times New Roman" w:hAnsi="Arial" w:cs="Arial"/>
                <w:sz w:val="18"/>
                <w:szCs w:val="18"/>
                <w:lang w:eastAsia="en-ZA"/>
              </w:rPr>
              <w:t>Section 3</w:t>
            </w:r>
          </w:p>
          <w:p w:rsidR="00A95558" w:rsidRPr="008F0EF3" w:rsidRDefault="00A95558"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Annexure “I”</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BB176F">
        <w:trPr>
          <w:trHeight w:val="1260"/>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Intergovernmental Project Pipeline: </w:t>
            </w:r>
            <w:r w:rsidRPr="008F519B">
              <w:rPr>
                <w:rFonts w:ascii="Calibri" w:eastAsia="Times New Roman" w:hAnsi="Calibri" w:cs="Calibri"/>
                <w:color w:val="000000"/>
                <w:sz w:val="18"/>
                <w:szCs w:val="18"/>
                <w:lang w:eastAsia="en-ZA"/>
              </w:rPr>
              <w:t xml:space="preserve">Draft Inter-Governmental Project Pipeline  (prioritised and costed) showing alignment and coordination of investment in terms of the Catalytic Urban Development Programme for priority precincts </w:t>
            </w:r>
            <w:r w:rsidRPr="008F519B">
              <w:rPr>
                <w:rFonts w:ascii="Calibri" w:eastAsia="Times New Roman" w:hAnsi="Calibri" w:cs="Calibri"/>
                <w:color w:val="000000"/>
                <w:sz w:val="18"/>
                <w:szCs w:val="18"/>
                <w:lang w:eastAsia="en-ZA"/>
              </w:rPr>
              <w:lastRenderedPageBreak/>
              <w:t xml:space="preserve">presented as per </w:t>
            </w:r>
            <w:proofErr w:type="spellStart"/>
            <w:r w:rsidRPr="008F519B">
              <w:rPr>
                <w:rFonts w:ascii="Calibri" w:eastAsia="Times New Roman" w:hAnsi="Calibri" w:cs="Calibri"/>
                <w:color w:val="000000"/>
                <w:sz w:val="18"/>
                <w:szCs w:val="18"/>
                <w:lang w:eastAsia="en-ZA"/>
              </w:rPr>
              <w:t>prescibed</w:t>
            </w:r>
            <w:proofErr w:type="spellEnd"/>
            <w:r w:rsidRPr="008F519B">
              <w:rPr>
                <w:rFonts w:ascii="Calibri" w:eastAsia="Times New Roman" w:hAnsi="Calibri" w:cs="Calibri"/>
                <w:color w:val="000000"/>
                <w:sz w:val="18"/>
                <w:szCs w:val="18"/>
                <w:lang w:eastAsia="en-ZA"/>
              </w:rPr>
              <w:t xml:space="preserve"> template (Annexure 2 of the Supplementary Guideline).</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lastRenderedPageBreak/>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A95558" w:rsidRPr="008F0EF3" w:rsidRDefault="002832F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r w:rsidR="00A95558" w:rsidRPr="008F0EF3">
              <w:rPr>
                <w:rFonts w:ascii="Arial" w:eastAsia="Times New Roman" w:hAnsi="Arial" w:cs="Arial"/>
                <w:sz w:val="18"/>
                <w:szCs w:val="18"/>
                <w:lang w:eastAsia="en-ZA"/>
              </w:rPr>
              <w:t xml:space="preserve"> </w:t>
            </w:r>
          </w:p>
          <w:p w:rsidR="002E5704" w:rsidRPr="008F0EF3" w:rsidRDefault="002E5704" w:rsidP="00A95558">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Narrative </w:t>
            </w:r>
            <w:r w:rsidR="00BB176F" w:rsidRPr="008F0EF3">
              <w:rPr>
                <w:rFonts w:ascii="Arial" w:eastAsia="Times New Roman" w:hAnsi="Arial" w:cs="Arial"/>
                <w:sz w:val="18"/>
                <w:szCs w:val="18"/>
                <w:lang w:eastAsia="en-ZA"/>
              </w:rPr>
              <w:t>Section 3.2</w:t>
            </w:r>
          </w:p>
          <w:p w:rsidR="008F519B" w:rsidRPr="008F0EF3" w:rsidRDefault="00A95558" w:rsidP="00A95558">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Annexure “J” – not all costs are available </w:t>
            </w:r>
            <w:r w:rsidR="002832F6" w:rsidRPr="008F0EF3">
              <w:rPr>
                <w:rFonts w:ascii="Arial" w:eastAsia="Times New Roman" w:hAnsi="Arial" w:cs="Arial"/>
                <w:sz w:val="18"/>
                <w:szCs w:val="18"/>
                <w:lang w:eastAsia="en-ZA"/>
              </w:rPr>
              <w:t xml:space="preserve">but the template is complete for further population as the depth of the </w:t>
            </w:r>
            <w:r w:rsidR="002832F6" w:rsidRPr="008F0EF3">
              <w:rPr>
                <w:rFonts w:ascii="Arial" w:eastAsia="Times New Roman" w:hAnsi="Arial" w:cs="Arial"/>
                <w:sz w:val="18"/>
                <w:szCs w:val="18"/>
                <w:lang w:eastAsia="en-ZA"/>
              </w:rPr>
              <w:lastRenderedPageBreak/>
              <w:t>programmes increases over time.</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lastRenderedPageBreak/>
              <w:t> </w:t>
            </w:r>
          </w:p>
        </w:tc>
      </w:tr>
      <w:tr w:rsidR="008F519B" w:rsidRPr="008F519B" w:rsidTr="00BB176F">
        <w:trPr>
          <w:trHeight w:val="1260"/>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Coordination:</w:t>
            </w:r>
            <w:r w:rsidRPr="008F519B">
              <w:rPr>
                <w:rFonts w:ascii="Calibri" w:eastAsia="Times New Roman" w:hAnsi="Calibri" w:cs="Calibri"/>
                <w:color w:val="000000"/>
                <w:sz w:val="18"/>
                <w:szCs w:val="18"/>
                <w:lang w:eastAsia="en-ZA"/>
              </w:rPr>
              <w:t xml:space="preserve"> Demonstrable joint planning and budgeting alignment with national and provincial government and SOE's responsible for asset creation for service delivery directly to the public in priority  IZ(s) and precincts.</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2E5704" w:rsidRPr="008F0EF3" w:rsidRDefault="002E5704" w:rsidP="00BB176F">
            <w:pPr>
              <w:spacing w:after="0" w:line="240" w:lineRule="auto"/>
              <w:rPr>
                <w:rFonts w:ascii="Arial" w:eastAsia="Times New Roman" w:hAnsi="Arial" w:cs="Arial"/>
                <w:color w:val="FF0000"/>
                <w:sz w:val="28"/>
                <w:szCs w:val="28"/>
                <w:lang w:eastAsia="en-ZA"/>
              </w:rPr>
            </w:pPr>
            <w:r w:rsidRPr="008F0EF3">
              <w:rPr>
                <w:rFonts w:ascii="Arial" w:eastAsia="Times New Roman" w:hAnsi="Arial" w:cs="Arial"/>
                <w:sz w:val="18"/>
                <w:szCs w:val="18"/>
                <w:lang w:eastAsia="en-ZA"/>
              </w:rPr>
              <w:t xml:space="preserve">Section </w:t>
            </w:r>
            <w:r w:rsidR="00BB176F" w:rsidRPr="008F0EF3">
              <w:rPr>
                <w:rFonts w:ascii="Arial" w:eastAsia="Times New Roman" w:hAnsi="Arial" w:cs="Arial"/>
                <w:sz w:val="18"/>
                <w:szCs w:val="18"/>
                <w:lang w:eastAsia="en-ZA"/>
              </w:rPr>
              <w:t>3.3.2</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BB176F">
        <w:trPr>
          <w:trHeight w:val="1260"/>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Institutional Coordination: </w:t>
            </w:r>
            <w:r w:rsidRPr="008F519B">
              <w:rPr>
                <w:rFonts w:ascii="Calibri" w:eastAsia="Times New Roman" w:hAnsi="Calibri" w:cs="Calibri"/>
                <w:color w:val="000000"/>
                <w:sz w:val="18"/>
                <w:szCs w:val="18"/>
                <w:lang w:eastAsia="en-ZA"/>
              </w:rPr>
              <w:t xml:space="preserve">Implementation agreements between Metro and relevant national and provincial government and SOE's in support of Inter-Governmental Project Pipeline identified and summarised. </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2E5704" w:rsidRPr="008F0EF3" w:rsidRDefault="002E5704" w:rsidP="00BB176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BB176F" w:rsidRPr="008F0EF3">
              <w:rPr>
                <w:rFonts w:ascii="Arial" w:eastAsia="Times New Roman" w:hAnsi="Arial" w:cs="Arial"/>
                <w:sz w:val="18"/>
                <w:szCs w:val="18"/>
                <w:lang w:eastAsia="en-ZA"/>
              </w:rPr>
              <w:t>3.3.2</w:t>
            </w:r>
            <w:r w:rsidRPr="008F0EF3">
              <w:rPr>
                <w:rFonts w:ascii="Arial" w:eastAsia="Times New Roman" w:hAnsi="Arial" w:cs="Arial"/>
                <w:color w:val="FF0000"/>
                <w:sz w:val="18"/>
                <w:szCs w:val="18"/>
                <w:lang w:eastAsia="en-ZA"/>
              </w:rPr>
              <w:t xml:space="preserve"> </w:t>
            </w:r>
            <w:r w:rsidRPr="008F0EF3">
              <w:rPr>
                <w:rFonts w:ascii="Arial" w:eastAsia="Times New Roman" w:hAnsi="Arial" w:cs="Arial"/>
                <w:sz w:val="18"/>
                <w:szCs w:val="18"/>
                <w:lang w:eastAsia="en-ZA"/>
              </w:rPr>
              <w:t>covering those programmes where there are agreements</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BB176F">
        <w:trPr>
          <w:trHeight w:val="1260"/>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Institutional Coordination: </w:t>
            </w:r>
            <w:r w:rsidRPr="008F519B">
              <w:rPr>
                <w:rFonts w:ascii="Calibri" w:eastAsia="Times New Roman" w:hAnsi="Calibri" w:cs="Calibri"/>
                <w:color w:val="000000"/>
                <w:sz w:val="18"/>
                <w:szCs w:val="18"/>
                <w:lang w:eastAsia="en-ZA"/>
              </w:rPr>
              <w:t xml:space="preserve">Progress evaluation of implementation agreements  given highlighting programme/ project specific expectations of relevant national and provincial </w:t>
            </w:r>
            <w:proofErr w:type="spellStart"/>
            <w:r w:rsidRPr="008F519B">
              <w:rPr>
                <w:rFonts w:ascii="Calibri" w:eastAsia="Times New Roman" w:hAnsi="Calibri" w:cs="Calibri"/>
                <w:color w:val="000000"/>
                <w:sz w:val="18"/>
                <w:szCs w:val="18"/>
                <w:lang w:eastAsia="en-ZA"/>
              </w:rPr>
              <w:t>governement</w:t>
            </w:r>
            <w:proofErr w:type="spellEnd"/>
            <w:r w:rsidRPr="008F519B">
              <w:rPr>
                <w:rFonts w:ascii="Calibri" w:eastAsia="Times New Roman" w:hAnsi="Calibri" w:cs="Calibri"/>
                <w:color w:val="000000"/>
                <w:sz w:val="18"/>
                <w:szCs w:val="18"/>
                <w:lang w:eastAsia="en-ZA"/>
              </w:rPr>
              <w:t xml:space="preserve"> and SOE's.</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2E5704" w:rsidRPr="008F0EF3" w:rsidRDefault="002E5704" w:rsidP="00BB176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BB176F" w:rsidRPr="008F0EF3">
              <w:rPr>
                <w:rFonts w:ascii="Arial" w:eastAsia="Times New Roman" w:hAnsi="Arial" w:cs="Arial"/>
                <w:sz w:val="18"/>
                <w:szCs w:val="18"/>
                <w:lang w:eastAsia="en-ZA"/>
              </w:rPr>
              <w:t>3.3.2</w:t>
            </w:r>
            <w:r w:rsidRPr="008F0EF3">
              <w:rPr>
                <w:rFonts w:ascii="Arial" w:eastAsia="Times New Roman" w:hAnsi="Arial" w:cs="Arial"/>
                <w:color w:val="FF0000"/>
                <w:sz w:val="18"/>
                <w:szCs w:val="18"/>
                <w:lang w:eastAsia="en-ZA"/>
              </w:rPr>
              <w:t>.</w:t>
            </w:r>
            <w:r w:rsidRPr="008F0EF3">
              <w:rPr>
                <w:rFonts w:ascii="Arial" w:eastAsia="Times New Roman" w:hAnsi="Arial" w:cs="Arial"/>
                <w:sz w:val="18"/>
                <w:szCs w:val="18"/>
                <w:lang w:eastAsia="en-ZA"/>
              </w:rPr>
              <w:t>covering those programmes where there are agreements</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998"/>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000000" w:fill="FFFFFF"/>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Institutional arrangements: </w:t>
            </w:r>
            <w:r w:rsidRPr="008F519B">
              <w:rPr>
                <w:rFonts w:ascii="Calibri" w:eastAsia="Times New Roman" w:hAnsi="Calibri" w:cs="Calibri"/>
                <w:color w:val="000000"/>
                <w:sz w:val="18"/>
                <w:szCs w:val="18"/>
                <w:lang w:eastAsia="en-ZA"/>
              </w:rPr>
              <w:t>Evidence of</w:t>
            </w:r>
            <w:r w:rsidRPr="008F519B">
              <w:rPr>
                <w:rFonts w:ascii="Calibri" w:eastAsia="Times New Roman" w:hAnsi="Calibri" w:cs="Calibri"/>
                <w:b/>
                <w:bCs/>
                <w:color w:val="000000"/>
                <w:sz w:val="18"/>
                <w:szCs w:val="18"/>
                <w:lang w:eastAsia="en-ZA"/>
              </w:rPr>
              <w:t xml:space="preserve"> l</w:t>
            </w:r>
            <w:r w:rsidRPr="008F519B">
              <w:rPr>
                <w:rFonts w:ascii="Calibri" w:eastAsia="Times New Roman" w:hAnsi="Calibri" w:cs="Calibri"/>
                <w:color w:val="000000"/>
                <w:sz w:val="18"/>
                <w:szCs w:val="18"/>
                <w:lang w:eastAsia="en-ZA"/>
              </w:rPr>
              <w:t>eadership and good governance required to drive change and build coalitions around the city's vision and programme.</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2E5704" w:rsidRPr="008F0EF3" w:rsidRDefault="002E5704" w:rsidP="008F519B">
            <w:pPr>
              <w:spacing w:after="0" w:line="240" w:lineRule="auto"/>
              <w:rPr>
                <w:rFonts w:ascii="Arial" w:eastAsia="Times New Roman" w:hAnsi="Arial" w:cs="Arial"/>
                <w:sz w:val="18"/>
                <w:szCs w:val="18"/>
                <w:lang w:eastAsia="en-ZA"/>
              </w:rPr>
            </w:pPr>
          </w:p>
          <w:p w:rsidR="002E5704" w:rsidRPr="008F0EF3" w:rsidRDefault="00BB176F" w:rsidP="00BB176F">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3.3.2</w:t>
            </w:r>
            <w:r w:rsidR="002E5704" w:rsidRPr="008F0EF3">
              <w:rPr>
                <w:rFonts w:ascii="Arial" w:eastAsia="Times New Roman" w:hAnsi="Arial" w:cs="Arial"/>
                <w:sz w:val="18"/>
                <w:szCs w:val="18"/>
                <w:lang w:eastAsia="en-ZA"/>
              </w:rPr>
              <w:t xml:space="preserve"> read in conjunction with section 1.2.5</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1032"/>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000000" w:fill="FFFFFF"/>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Institutional arrangements: </w:t>
            </w:r>
            <w:r w:rsidRPr="008F519B">
              <w:rPr>
                <w:rFonts w:ascii="Calibri" w:eastAsia="Times New Roman" w:hAnsi="Calibri" w:cs="Calibri"/>
                <w:color w:val="000000"/>
                <w:sz w:val="18"/>
                <w:szCs w:val="18"/>
                <w:lang w:eastAsia="en-ZA"/>
              </w:rPr>
              <w:t>Evidence</w:t>
            </w:r>
            <w:r w:rsidRPr="008F519B">
              <w:rPr>
                <w:rFonts w:ascii="Calibri" w:eastAsia="Times New Roman" w:hAnsi="Calibri" w:cs="Calibri"/>
                <w:b/>
                <w:bCs/>
                <w:color w:val="000000"/>
                <w:sz w:val="18"/>
                <w:szCs w:val="18"/>
                <w:lang w:eastAsia="en-ZA"/>
              </w:rPr>
              <w:t xml:space="preserve"> </w:t>
            </w:r>
            <w:r w:rsidRPr="008F519B">
              <w:rPr>
                <w:rFonts w:ascii="Calibri" w:eastAsia="Times New Roman" w:hAnsi="Calibri" w:cs="Calibri"/>
                <w:color w:val="000000"/>
                <w:sz w:val="18"/>
                <w:szCs w:val="18"/>
                <w:lang w:eastAsia="en-ZA"/>
              </w:rPr>
              <w:t xml:space="preserve">of </w:t>
            </w:r>
            <w:r w:rsidRPr="008F519B">
              <w:rPr>
                <w:rFonts w:ascii="Calibri" w:eastAsia="Times New Roman" w:hAnsi="Calibri" w:cs="Calibri"/>
                <w:b/>
                <w:bCs/>
                <w:color w:val="000000"/>
                <w:sz w:val="18"/>
                <w:szCs w:val="18"/>
                <w:lang w:eastAsia="en-ZA"/>
              </w:rPr>
              <w:t>i</w:t>
            </w:r>
            <w:r w:rsidRPr="008F519B">
              <w:rPr>
                <w:rFonts w:ascii="Calibri" w:eastAsia="Times New Roman" w:hAnsi="Calibri" w:cs="Calibri"/>
                <w:color w:val="000000"/>
                <w:sz w:val="18"/>
                <w:szCs w:val="18"/>
                <w:lang w:eastAsia="en-ZA"/>
              </w:rPr>
              <w:t>ntra-sectoral municipal co-ordination.</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2E5704"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BB176F" w:rsidRPr="008F0EF3">
              <w:rPr>
                <w:rFonts w:ascii="Arial" w:eastAsia="Times New Roman" w:hAnsi="Arial" w:cs="Arial"/>
                <w:sz w:val="18"/>
                <w:szCs w:val="18"/>
                <w:lang w:eastAsia="en-ZA"/>
              </w:rPr>
              <w:t>3.3.1 and 3.3.2</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BB176F">
        <w:trPr>
          <w:trHeight w:val="1032"/>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arrangements:</w:t>
            </w:r>
            <w:r w:rsidRPr="008F519B">
              <w:rPr>
                <w:rFonts w:ascii="Calibri" w:eastAsia="Times New Roman" w:hAnsi="Calibri" w:cs="Calibri"/>
                <w:color w:val="000000"/>
                <w:sz w:val="18"/>
                <w:szCs w:val="18"/>
                <w:lang w:eastAsia="en-ZA"/>
              </w:rPr>
              <w:t xml:space="preserve"> Evidence of risk mitigation strategies </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2E5704"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BB176F" w:rsidRPr="008F0EF3">
              <w:rPr>
                <w:rFonts w:ascii="Arial" w:eastAsia="Times New Roman" w:hAnsi="Arial" w:cs="Arial"/>
                <w:sz w:val="18"/>
                <w:szCs w:val="18"/>
                <w:lang w:eastAsia="en-ZA"/>
              </w:rPr>
              <w:t>3.3.3</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300"/>
        </w:trPr>
        <w:tc>
          <w:tcPr>
            <w:tcW w:w="1596" w:type="dxa"/>
            <w:vMerge/>
            <w:tcBorders>
              <w:top w:val="nil"/>
              <w:left w:val="nil"/>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8436" w:type="dxa"/>
            <w:gridSpan w:val="6"/>
            <w:tcBorders>
              <w:top w:val="single" w:sz="4" w:space="0" w:color="auto"/>
              <w:left w:val="nil"/>
              <w:bottom w:val="single" w:sz="4" w:space="0" w:color="auto"/>
              <w:right w:val="single" w:sz="4" w:space="0" w:color="000000"/>
            </w:tcBorders>
            <w:shd w:val="clear" w:color="000000" w:fill="DAEEF3"/>
            <w:noWrap/>
            <w:hideMark/>
          </w:tcPr>
          <w:p w:rsidR="008F519B" w:rsidRPr="008F519B" w:rsidRDefault="008F519B" w:rsidP="008F519B">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Section C Total</w:t>
            </w:r>
          </w:p>
        </w:tc>
        <w:tc>
          <w:tcPr>
            <w:tcW w:w="1116" w:type="dxa"/>
            <w:gridSpan w:val="2"/>
            <w:tcBorders>
              <w:top w:val="nil"/>
              <w:left w:val="nil"/>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5" w:type="dxa"/>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bl>
    <w:p w:rsidR="008F519B" w:rsidRDefault="008F519B" w:rsidP="00AA2470">
      <w:pPr>
        <w:rPr>
          <w:rFonts w:ascii="Arial" w:hAnsi="Arial" w:cs="Arial"/>
          <w:sz w:val="18"/>
          <w:szCs w:val="18"/>
        </w:rPr>
      </w:pPr>
    </w:p>
    <w:p w:rsidR="008F519B" w:rsidRDefault="008F519B" w:rsidP="00AA2470">
      <w:pPr>
        <w:rPr>
          <w:rFonts w:ascii="Arial" w:hAnsi="Arial" w:cs="Arial"/>
          <w:sz w:val="18"/>
          <w:szCs w:val="18"/>
        </w:rPr>
      </w:pPr>
    </w:p>
    <w:p w:rsidR="008F519B" w:rsidRDefault="008F519B">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D</w:t>
      </w:r>
    </w:p>
    <w:p w:rsidR="008F519B" w:rsidRDefault="008F519B" w:rsidP="00AA2470">
      <w:pPr>
        <w:rPr>
          <w:rFonts w:ascii="Arial" w:hAnsi="Arial" w:cs="Arial"/>
          <w:sz w:val="18"/>
          <w:szCs w:val="18"/>
        </w:rPr>
      </w:pPr>
    </w:p>
    <w:tbl>
      <w:tblPr>
        <w:tblW w:w="15103" w:type="dxa"/>
        <w:tblLook w:val="04A0" w:firstRow="1" w:lastRow="0" w:firstColumn="1" w:lastColumn="0" w:noHBand="0" w:noVBand="1"/>
      </w:tblPr>
      <w:tblGrid>
        <w:gridCol w:w="1588"/>
        <w:gridCol w:w="2665"/>
        <w:gridCol w:w="1508"/>
        <w:gridCol w:w="1428"/>
        <w:gridCol w:w="1448"/>
        <w:gridCol w:w="1348"/>
        <w:gridCol w:w="14"/>
        <w:gridCol w:w="1094"/>
        <w:gridCol w:w="14"/>
        <w:gridCol w:w="2134"/>
        <w:gridCol w:w="14"/>
        <w:gridCol w:w="1834"/>
        <w:gridCol w:w="14"/>
      </w:tblGrid>
      <w:tr w:rsidR="008F519B" w:rsidRPr="008F519B" w:rsidTr="008F519B">
        <w:trPr>
          <w:gridAfter w:val="1"/>
          <w:wAfter w:w="14" w:type="dxa"/>
          <w:trHeight w:val="240"/>
          <w:tblHeader/>
        </w:trPr>
        <w:tc>
          <w:tcPr>
            <w:tcW w:w="1588"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65"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28"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48"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48"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0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1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gridAfter w:val="1"/>
          <w:wAfter w:w="14" w:type="dxa"/>
          <w:trHeight w:val="240"/>
          <w:tblHeader/>
        </w:trPr>
        <w:tc>
          <w:tcPr>
            <w:tcW w:w="1588"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65"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8"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28"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48"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48"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0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1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gridAfter w:val="1"/>
          <w:wAfter w:w="14" w:type="dxa"/>
          <w:trHeight w:val="495"/>
          <w:tblHeader/>
        </w:trPr>
        <w:tc>
          <w:tcPr>
            <w:tcW w:w="1588"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65"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8"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28"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48"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48"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0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1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gridAfter w:val="1"/>
          <w:wAfter w:w="14" w:type="dxa"/>
          <w:trHeight w:val="255"/>
          <w:tblHeader/>
        </w:trPr>
        <w:tc>
          <w:tcPr>
            <w:tcW w:w="1588"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65"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08"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28"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48"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48" w:type="dxa"/>
            <w:tcBorders>
              <w:top w:val="single" w:sz="8" w:space="0" w:color="auto"/>
              <w:left w:val="nil"/>
              <w:bottom w:val="nil"/>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0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21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8F519B" w:rsidRPr="008F519B" w:rsidTr="008F519B">
        <w:trPr>
          <w:gridAfter w:val="1"/>
          <w:wAfter w:w="14" w:type="dxa"/>
          <w:trHeight w:val="503"/>
          <w:tblHeader/>
        </w:trPr>
        <w:tc>
          <w:tcPr>
            <w:tcW w:w="4253" w:type="dxa"/>
            <w:gridSpan w:val="2"/>
            <w:tcBorders>
              <w:top w:val="single" w:sz="8" w:space="0" w:color="auto"/>
              <w:left w:val="nil"/>
              <w:bottom w:val="single" w:sz="4" w:space="0" w:color="auto"/>
              <w:right w:val="single" w:sz="4" w:space="0" w:color="000000"/>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08"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2148"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004F36">
        <w:trPr>
          <w:gridAfter w:val="1"/>
          <w:wAfter w:w="14" w:type="dxa"/>
          <w:trHeight w:val="1812"/>
        </w:trPr>
        <w:tc>
          <w:tcPr>
            <w:tcW w:w="1588" w:type="dxa"/>
            <w:vMerge w:val="restart"/>
            <w:tcBorders>
              <w:top w:val="nil"/>
              <w:left w:val="single" w:sz="4" w:space="0" w:color="auto"/>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D Catalytic Urban Development Programme Resourcing</w:t>
            </w: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Spatial Budget Mix:</w:t>
            </w:r>
            <w:r w:rsidRPr="008F519B">
              <w:rPr>
                <w:rFonts w:ascii="Calibri" w:eastAsia="Times New Roman" w:hAnsi="Calibri" w:cs="Calibri"/>
                <w:color w:val="000000"/>
                <w:sz w:val="18"/>
                <w:szCs w:val="18"/>
                <w:lang w:eastAsia="en-ZA"/>
              </w:rPr>
              <w:t xml:space="preserve"> High level allocation of capital budget to each of the three spatial targeting areas, in the context of the Metro's total capital budget (from all funding sources) provided. As well as allocations across these areas for infrastructure upgrades, refurbishments, and operations and maintenance.  </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004F36" w:rsidRDefault="008F519B" w:rsidP="008F519B">
            <w:pPr>
              <w:spacing w:after="0" w:line="240" w:lineRule="auto"/>
              <w:jc w:val="center"/>
              <w:rPr>
                <w:rFonts w:ascii="Calibri" w:eastAsia="Times New Roman" w:hAnsi="Calibri" w:cs="Calibri"/>
                <w:sz w:val="18"/>
                <w:szCs w:val="18"/>
                <w:lang w:eastAsia="en-ZA"/>
              </w:rPr>
            </w:pPr>
            <w:r w:rsidRPr="00004F36">
              <w:rPr>
                <w:rFonts w:ascii="Calibri" w:eastAsia="Times New Roman" w:hAnsi="Calibri" w:cs="Calibri"/>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hideMark/>
          </w:tcPr>
          <w:p w:rsidR="008A53BC" w:rsidRPr="008F0EF3" w:rsidRDefault="002E5704"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8A53BC" w:rsidRPr="008F0EF3" w:rsidRDefault="008A53BC"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Tables in section </w:t>
            </w:r>
            <w:r w:rsidR="00004F36" w:rsidRPr="008F0EF3">
              <w:rPr>
                <w:rFonts w:ascii="Arial" w:eastAsia="Times New Roman" w:hAnsi="Arial" w:cs="Arial"/>
                <w:sz w:val="18"/>
                <w:szCs w:val="18"/>
                <w:lang w:eastAsia="en-ZA"/>
              </w:rPr>
              <w:t>4.2.1</w:t>
            </w:r>
          </w:p>
          <w:p w:rsidR="008F519B" w:rsidRPr="008F0EF3" w:rsidRDefault="008A53BC" w:rsidP="008A53BC">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Annexure K</w:t>
            </w: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0EF3">
        <w:trPr>
          <w:gridAfter w:val="1"/>
          <w:wAfter w:w="14" w:type="dxa"/>
          <w:trHeight w:val="1688"/>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Programme Resourcing: </w:t>
            </w:r>
            <w:r w:rsidRPr="008F519B">
              <w:rPr>
                <w:rFonts w:ascii="Calibri" w:eastAsia="Times New Roman" w:hAnsi="Calibri" w:cs="Calibri"/>
                <w:color w:val="000000"/>
                <w:sz w:val="18"/>
                <w:szCs w:val="18"/>
                <w:lang w:eastAsia="en-ZA"/>
              </w:rPr>
              <w:t xml:space="preserve">Resourcing plan (capital and operational) for the prioritised catalytic urban development programmes for each phase of the project preparation process and funding sources provided over the MTREF  as per the format of Annexure 1, including the following: Funding source identified and status of financial closure; indication of whether a project pre-feasibility / feasibility studies have been conducted; indication of project funding over </w:t>
            </w:r>
            <w:r w:rsidRPr="008F519B">
              <w:rPr>
                <w:rFonts w:ascii="Calibri" w:eastAsia="Times New Roman" w:hAnsi="Calibri" w:cs="Calibri"/>
                <w:color w:val="000000"/>
                <w:sz w:val="18"/>
                <w:szCs w:val="18"/>
                <w:lang w:eastAsia="en-ZA"/>
              </w:rPr>
              <w:lastRenderedPageBreak/>
              <w:t>the MTREF; identification of alternative funding sources, and status of financial closure; highlighting of projects for which funding has not been acquired and steps to be followed.</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lastRenderedPageBreak/>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004F36" w:rsidRDefault="008F519B" w:rsidP="008F519B">
            <w:pPr>
              <w:spacing w:after="0" w:line="240" w:lineRule="auto"/>
              <w:jc w:val="center"/>
              <w:rPr>
                <w:rFonts w:ascii="Calibri" w:eastAsia="Times New Roman" w:hAnsi="Calibri" w:cs="Calibri"/>
                <w:sz w:val="18"/>
                <w:szCs w:val="18"/>
                <w:lang w:eastAsia="en-ZA"/>
              </w:rPr>
            </w:pPr>
            <w:r w:rsidRPr="00004F36">
              <w:rPr>
                <w:rFonts w:ascii="Calibri" w:eastAsia="Times New Roman" w:hAnsi="Calibri" w:cs="Calibri"/>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hideMark/>
          </w:tcPr>
          <w:p w:rsidR="008F519B" w:rsidRPr="008F0EF3" w:rsidRDefault="008A53BC" w:rsidP="002E5704">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8A53BC" w:rsidRPr="008F0EF3" w:rsidRDefault="00004F36" w:rsidP="002E5704">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Section 4.2</w:t>
            </w:r>
          </w:p>
          <w:p w:rsidR="008A53BC" w:rsidRPr="008F0EF3" w:rsidRDefault="008A53BC" w:rsidP="002E5704">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Annexure K</w:t>
            </w:r>
          </w:p>
          <w:p w:rsidR="002E5704" w:rsidRPr="008F0EF3" w:rsidRDefault="002E5704" w:rsidP="002E5704">
            <w:pPr>
              <w:spacing w:after="0" w:line="240" w:lineRule="auto"/>
              <w:rPr>
                <w:rFonts w:ascii="Arial" w:eastAsia="Times New Roman" w:hAnsi="Arial" w:cs="Arial"/>
                <w:sz w:val="18"/>
                <w:szCs w:val="18"/>
                <w:lang w:eastAsia="en-ZA"/>
              </w:rPr>
            </w:pPr>
          </w:p>
          <w:p w:rsidR="00C93998" w:rsidRPr="008F0EF3" w:rsidRDefault="00C93998" w:rsidP="002E5704">
            <w:pPr>
              <w:spacing w:after="0" w:line="240" w:lineRule="auto"/>
              <w:rPr>
                <w:rFonts w:ascii="Arial" w:eastAsia="Times New Roman" w:hAnsi="Arial" w:cs="Arial"/>
                <w:sz w:val="18"/>
                <w:szCs w:val="18"/>
                <w:lang w:eastAsia="en-ZA"/>
              </w:rPr>
            </w:pP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004F36">
        <w:trPr>
          <w:gridAfter w:val="1"/>
          <w:wAfter w:w="14" w:type="dxa"/>
          <w:trHeight w:val="2509"/>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Long Term Financial Planning</w:t>
            </w:r>
            <w:r w:rsidRPr="008F519B">
              <w:rPr>
                <w:rFonts w:ascii="Calibri" w:eastAsia="Times New Roman" w:hAnsi="Calibri" w:cs="Calibri"/>
                <w:color w:val="000000"/>
                <w:sz w:val="18"/>
                <w:szCs w:val="18"/>
                <w:lang w:eastAsia="en-ZA"/>
              </w:rPr>
              <w:t>: Confirmation and overview of long term financing/ investment strategy for the catalytic urban development programme(s) provided or the timeframes given for the preparation of such as strategy</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004F36" w:rsidRDefault="008F519B" w:rsidP="008F519B">
            <w:pPr>
              <w:spacing w:after="0" w:line="240" w:lineRule="auto"/>
              <w:jc w:val="center"/>
              <w:rPr>
                <w:rFonts w:ascii="Calibri" w:eastAsia="Times New Roman" w:hAnsi="Calibri" w:cs="Calibri"/>
                <w:sz w:val="18"/>
                <w:szCs w:val="18"/>
                <w:lang w:eastAsia="en-ZA"/>
              </w:rPr>
            </w:pPr>
            <w:r w:rsidRPr="00004F36">
              <w:rPr>
                <w:rFonts w:ascii="Calibri" w:eastAsia="Times New Roman" w:hAnsi="Calibri" w:cs="Calibri"/>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hideMark/>
          </w:tcPr>
          <w:p w:rsidR="008F519B" w:rsidRPr="008F0EF3" w:rsidRDefault="00004F3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C93998" w:rsidRPr="008F0EF3" w:rsidRDefault="00004F36" w:rsidP="008F519B">
            <w:pPr>
              <w:spacing w:after="0" w:line="240" w:lineRule="auto"/>
              <w:rPr>
                <w:rFonts w:ascii="Arial" w:eastAsia="Times New Roman" w:hAnsi="Arial" w:cs="Arial"/>
                <w:sz w:val="28"/>
                <w:szCs w:val="28"/>
                <w:lang w:eastAsia="en-ZA"/>
              </w:rPr>
            </w:pPr>
            <w:r w:rsidRPr="008F0EF3">
              <w:rPr>
                <w:rFonts w:ascii="Arial" w:eastAsia="Times New Roman" w:hAnsi="Arial" w:cs="Arial"/>
                <w:sz w:val="18"/>
                <w:szCs w:val="18"/>
                <w:lang w:eastAsia="en-ZA"/>
              </w:rPr>
              <w:t>Section 4.2.3</w:t>
            </w: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004F36">
        <w:trPr>
          <w:gridAfter w:val="1"/>
          <w:wAfter w:w="14" w:type="dxa"/>
          <w:trHeight w:val="2509"/>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Strategy led budgeting:</w:t>
            </w:r>
            <w:r w:rsidRPr="008F519B">
              <w:rPr>
                <w:rFonts w:ascii="Calibri" w:eastAsia="Times New Roman" w:hAnsi="Calibri" w:cs="Calibri"/>
                <w:color w:val="000000"/>
                <w:sz w:val="18"/>
                <w:szCs w:val="18"/>
                <w:lang w:eastAsia="en-ZA"/>
              </w:rPr>
              <w:t xml:space="preserve"> Outline of the strategy leading the budgeting process is provided and the process followed to ensure that strategy led budgeting takes place. </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hideMark/>
          </w:tcPr>
          <w:p w:rsidR="008F519B" w:rsidRPr="008F0EF3" w:rsidRDefault="00C93998"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 Platinum </w:t>
            </w:r>
          </w:p>
          <w:p w:rsidR="00C93998" w:rsidRPr="008F0EF3" w:rsidRDefault="00C93998" w:rsidP="008F519B">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 xml:space="preserve">Sections 1.2.5 </w:t>
            </w: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gridAfter w:val="1"/>
          <w:wAfter w:w="14" w:type="dxa"/>
          <w:trHeight w:val="1545"/>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Capital budget: D</w:t>
            </w:r>
            <w:r w:rsidRPr="008F519B">
              <w:rPr>
                <w:rFonts w:ascii="Calibri" w:eastAsia="Times New Roman" w:hAnsi="Calibri" w:cs="Calibri"/>
                <w:color w:val="000000"/>
                <w:sz w:val="18"/>
                <w:szCs w:val="18"/>
                <w:lang w:eastAsia="en-ZA"/>
              </w:rPr>
              <w:t>emonstration of how the budget content and processes between metros, national and provincial government and SOEs will be aligned to BEPP content and process and how this will be monitored in terms of priority projects in the Inter-Governmental project pipeline.</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hideMark/>
          </w:tcPr>
          <w:p w:rsidR="008F519B" w:rsidRPr="008F0EF3" w:rsidRDefault="008A53BC"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8A53BC" w:rsidRPr="008F0EF3" w:rsidRDefault="008A53BC" w:rsidP="00004F36">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The aligned budget process described in section 1.2.5 with the Strategic </w:t>
            </w:r>
            <w:r w:rsidR="009C40B9" w:rsidRPr="008F0EF3">
              <w:rPr>
                <w:rFonts w:ascii="Arial" w:eastAsia="Times New Roman" w:hAnsi="Arial" w:cs="Arial"/>
                <w:sz w:val="18"/>
                <w:szCs w:val="18"/>
                <w:lang w:eastAsia="en-ZA"/>
              </w:rPr>
              <w:t>Planning</w:t>
            </w:r>
            <w:r w:rsidRPr="008F0EF3">
              <w:rPr>
                <w:rFonts w:ascii="Arial" w:eastAsia="Times New Roman" w:hAnsi="Arial" w:cs="Arial"/>
                <w:sz w:val="18"/>
                <w:szCs w:val="18"/>
                <w:lang w:eastAsia="en-ZA"/>
              </w:rPr>
              <w:t xml:space="preserve"> Steering Committee</w:t>
            </w:r>
            <w:r w:rsidR="009C40B9" w:rsidRPr="008F0EF3">
              <w:rPr>
                <w:rFonts w:ascii="Arial" w:eastAsia="Times New Roman" w:hAnsi="Arial" w:cs="Arial"/>
                <w:sz w:val="18"/>
                <w:szCs w:val="18"/>
                <w:lang w:eastAsia="en-ZA"/>
              </w:rPr>
              <w:t xml:space="preserve"> is designed </w:t>
            </w:r>
            <w:r w:rsidR="00004F36" w:rsidRPr="008F0EF3">
              <w:rPr>
                <w:rFonts w:ascii="Arial" w:eastAsia="Times New Roman" w:hAnsi="Arial" w:cs="Arial"/>
                <w:sz w:val="18"/>
                <w:szCs w:val="18"/>
                <w:lang w:eastAsia="en-ZA"/>
              </w:rPr>
              <w:t>to</w:t>
            </w:r>
            <w:r w:rsidR="009C40B9" w:rsidRPr="008F0EF3">
              <w:rPr>
                <w:rFonts w:ascii="Arial" w:eastAsia="Times New Roman" w:hAnsi="Arial" w:cs="Arial"/>
                <w:sz w:val="18"/>
                <w:szCs w:val="18"/>
                <w:lang w:eastAsia="en-ZA"/>
              </w:rPr>
              <w:t xml:space="preserve"> achieve this. It is complemented by the ongoing engagements with SOE’s and Government as described in section </w:t>
            </w:r>
            <w:r w:rsidR="00004F36" w:rsidRPr="008F0EF3">
              <w:rPr>
                <w:rFonts w:ascii="Arial" w:eastAsia="Times New Roman" w:hAnsi="Arial" w:cs="Arial"/>
                <w:sz w:val="18"/>
                <w:szCs w:val="18"/>
                <w:lang w:eastAsia="en-ZA"/>
              </w:rPr>
              <w:t>3.3.2</w:t>
            </w: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5F333F">
        <w:trPr>
          <w:gridAfter w:val="1"/>
          <w:wAfter w:w="14" w:type="dxa"/>
          <w:trHeight w:val="1043"/>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Capital budget:</w:t>
            </w:r>
            <w:r w:rsidRPr="008F519B">
              <w:rPr>
                <w:rFonts w:ascii="Calibri" w:eastAsia="Times New Roman" w:hAnsi="Calibri" w:cs="Calibri"/>
                <w:color w:val="000000"/>
                <w:sz w:val="18"/>
                <w:szCs w:val="18"/>
                <w:lang w:eastAsia="en-ZA"/>
              </w:rPr>
              <w:t xml:space="preserve"> Breaking down of the current expenditure in each prioritised Integration Zone into IZ-wide projects and prioritised IZ precinct projects.</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tcPr>
          <w:p w:rsidR="008F519B" w:rsidRPr="008F0EF3" w:rsidRDefault="005F333F"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9C40B9" w:rsidRPr="008F0EF3" w:rsidRDefault="009C40B9"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004F36" w:rsidRPr="008F0EF3">
              <w:rPr>
                <w:rFonts w:ascii="Arial" w:eastAsia="Times New Roman" w:hAnsi="Arial" w:cs="Arial"/>
                <w:sz w:val="18"/>
                <w:szCs w:val="18"/>
                <w:lang w:eastAsia="en-ZA"/>
              </w:rPr>
              <w:t>4.2.2</w:t>
            </w:r>
          </w:p>
          <w:p w:rsidR="009C40B9" w:rsidRPr="008F0EF3" w:rsidRDefault="009C40B9"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Annexure K</w:t>
            </w:r>
          </w:p>
          <w:p w:rsidR="00004F36" w:rsidRPr="008F0EF3" w:rsidRDefault="00004F36" w:rsidP="008F519B">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Table 11</w:t>
            </w: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gridAfter w:val="1"/>
          <w:wAfter w:w="14" w:type="dxa"/>
          <w:trHeight w:val="1032"/>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65"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arrangements:</w:t>
            </w:r>
            <w:r w:rsidRPr="008F519B">
              <w:rPr>
                <w:rFonts w:ascii="Calibri" w:eastAsia="Times New Roman" w:hAnsi="Calibri" w:cs="Calibri"/>
                <w:color w:val="000000"/>
                <w:sz w:val="18"/>
                <w:szCs w:val="18"/>
                <w:lang w:eastAsia="en-ZA"/>
              </w:rPr>
              <w:t xml:space="preserve"> Evidence of risk mitigation strategies in place and being implemented.</w:t>
            </w:r>
          </w:p>
        </w:tc>
        <w:tc>
          <w:tcPr>
            <w:tcW w:w="150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8"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8"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8"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48" w:type="dxa"/>
            <w:gridSpan w:val="2"/>
            <w:tcBorders>
              <w:top w:val="nil"/>
              <w:left w:val="nil"/>
              <w:bottom w:val="single" w:sz="4" w:space="0" w:color="auto"/>
              <w:right w:val="single" w:sz="4" w:space="0" w:color="auto"/>
            </w:tcBorders>
            <w:shd w:val="clear" w:color="auto" w:fill="auto"/>
            <w:hideMark/>
          </w:tcPr>
          <w:p w:rsidR="008F519B" w:rsidRPr="008F0EF3" w:rsidRDefault="009C40B9"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9C40B9" w:rsidRPr="008F0EF3" w:rsidRDefault="00004F36" w:rsidP="008F519B">
            <w:pPr>
              <w:spacing w:after="0" w:line="240" w:lineRule="auto"/>
              <w:rPr>
                <w:rFonts w:ascii="Arial" w:eastAsia="Times New Roman" w:hAnsi="Arial" w:cs="Arial"/>
                <w:color w:val="FF0000"/>
                <w:sz w:val="18"/>
                <w:szCs w:val="18"/>
                <w:lang w:eastAsia="en-ZA"/>
              </w:rPr>
            </w:pPr>
            <w:r w:rsidRPr="008F0EF3">
              <w:rPr>
                <w:rFonts w:ascii="Arial" w:eastAsia="Times New Roman" w:hAnsi="Arial" w:cs="Arial"/>
                <w:sz w:val="18"/>
                <w:szCs w:val="18"/>
                <w:lang w:eastAsia="en-ZA"/>
              </w:rPr>
              <w:t>3.3.3</w:t>
            </w:r>
          </w:p>
        </w:tc>
        <w:tc>
          <w:tcPr>
            <w:tcW w:w="1848" w:type="dxa"/>
            <w:gridSpan w:val="2"/>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252"/>
        </w:trPr>
        <w:tc>
          <w:tcPr>
            <w:tcW w:w="1588"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8411" w:type="dxa"/>
            <w:gridSpan w:val="6"/>
            <w:tcBorders>
              <w:top w:val="single" w:sz="4" w:space="0" w:color="auto"/>
              <w:left w:val="nil"/>
              <w:bottom w:val="single" w:sz="4" w:space="0" w:color="auto"/>
              <w:right w:val="single" w:sz="4" w:space="0" w:color="000000"/>
            </w:tcBorders>
            <w:shd w:val="clear" w:color="000000" w:fill="DAEEF3"/>
            <w:hideMark/>
          </w:tcPr>
          <w:p w:rsidR="008F519B" w:rsidRPr="008F519B" w:rsidRDefault="008F519B" w:rsidP="008F519B">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Section D Total</w:t>
            </w:r>
          </w:p>
        </w:tc>
        <w:tc>
          <w:tcPr>
            <w:tcW w:w="1108" w:type="dxa"/>
            <w:gridSpan w:val="2"/>
            <w:tcBorders>
              <w:top w:val="nil"/>
              <w:left w:val="nil"/>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1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84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bl>
    <w:p w:rsidR="008F519B" w:rsidRDefault="008F519B" w:rsidP="00AA2470">
      <w:pPr>
        <w:rPr>
          <w:rFonts w:ascii="Arial" w:hAnsi="Arial" w:cs="Arial"/>
          <w:sz w:val="18"/>
          <w:szCs w:val="18"/>
        </w:rPr>
      </w:pPr>
    </w:p>
    <w:p w:rsidR="008F519B" w:rsidRDefault="008F519B" w:rsidP="00AA2470">
      <w:pPr>
        <w:rPr>
          <w:rFonts w:ascii="Arial" w:hAnsi="Arial" w:cs="Arial"/>
          <w:sz w:val="18"/>
          <w:szCs w:val="18"/>
        </w:rPr>
      </w:pPr>
    </w:p>
    <w:p w:rsidR="008F519B" w:rsidRDefault="008F519B">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E</w:t>
      </w:r>
    </w:p>
    <w:p w:rsidR="008F519B" w:rsidRDefault="008F519B" w:rsidP="00AA2470">
      <w:pPr>
        <w:rPr>
          <w:rFonts w:ascii="Arial" w:hAnsi="Arial" w:cs="Arial"/>
          <w:sz w:val="18"/>
          <w:szCs w:val="18"/>
        </w:rPr>
      </w:pPr>
    </w:p>
    <w:tbl>
      <w:tblPr>
        <w:tblW w:w="15041" w:type="dxa"/>
        <w:tblLook w:val="04A0" w:firstRow="1" w:lastRow="0" w:firstColumn="1" w:lastColumn="0" w:noHBand="0" w:noVBand="1"/>
      </w:tblPr>
      <w:tblGrid>
        <w:gridCol w:w="1580"/>
        <w:gridCol w:w="2673"/>
        <w:gridCol w:w="1500"/>
        <w:gridCol w:w="1420"/>
        <w:gridCol w:w="1440"/>
        <w:gridCol w:w="1340"/>
        <w:gridCol w:w="13"/>
        <w:gridCol w:w="1087"/>
        <w:gridCol w:w="13"/>
        <w:gridCol w:w="1975"/>
        <w:gridCol w:w="2000"/>
      </w:tblGrid>
      <w:tr w:rsidR="008F519B" w:rsidRPr="008F519B" w:rsidTr="008F519B">
        <w:trPr>
          <w:trHeight w:val="240"/>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2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4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4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198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00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240"/>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20"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40"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40"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198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00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495"/>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2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4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4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198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00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255"/>
          <w:tblHeader/>
        </w:trPr>
        <w:tc>
          <w:tcPr>
            <w:tcW w:w="1580"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73"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0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2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4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40" w:type="dxa"/>
            <w:tcBorders>
              <w:top w:val="single" w:sz="8" w:space="0" w:color="auto"/>
              <w:left w:val="nil"/>
              <w:bottom w:val="nil"/>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0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8F519B" w:rsidRPr="008F519B" w:rsidTr="008F519B">
        <w:trPr>
          <w:trHeight w:val="503"/>
          <w:tblHeader/>
        </w:trPr>
        <w:tc>
          <w:tcPr>
            <w:tcW w:w="4253" w:type="dxa"/>
            <w:gridSpan w:val="2"/>
            <w:tcBorders>
              <w:top w:val="single" w:sz="8" w:space="0" w:color="auto"/>
              <w:left w:val="nil"/>
              <w:bottom w:val="single" w:sz="4" w:space="0" w:color="auto"/>
              <w:right w:val="single" w:sz="4" w:space="0" w:color="000000"/>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00"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940498">
        <w:trPr>
          <w:trHeight w:val="1058"/>
        </w:trPr>
        <w:tc>
          <w:tcPr>
            <w:tcW w:w="1580" w:type="dxa"/>
            <w:vMerge w:val="restart"/>
            <w:tcBorders>
              <w:top w:val="nil"/>
              <w:left w:val="single" w:sz="4" w:space="0" w:color="auto"/>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E Implementation</w:t>
            </w:r>
          </w:p>
        </w:tc>
        <w:tc>
          <w:tcPr>
            <w:tcW w:w="2673" w:type="dxa"/>
            <w:tcBorders>
              <w:top w:val="nil"/>
              <w:left w:val="nil"/>
              <w:bottom w:val="nil"/>
              <w:right w:val="nil"/>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Catalytic Urban Development Programme implementation:</w:t>
            </w:r>
            <w:r w:rsidRPr="008F519B">
              <w:rPr>
                <w:rFonts w:ascii="Calibri" w:eastAsia="Times New Roman" w:hAnsi="Calibri" w:cs="Calibri"/>
                <w:color w:val="000000"/>
                <w:sz w:val="18"/>
                <w:szCs w:val="18"/>
                <w:lang w:eastAsia="en-ZA"/>
              </w:rPr>
              <w:t xml:space="preserve"> Progress in project preparation and implementation cycle is recorded in Annexure 1</w:t>
            </w:r>
          </w:p>
        </w:tc>
        <w:tc>
          <w:tcPr>
            <w:tcW w:w="1500" w:type="dxa"/>
            <w:tcBorders>
              <w:top w:val="nil"/>
              <w:left w:val="single" w:sz="4" w:space="0" w:color="auto"/>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vAlign w:val="center"/>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6F286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6F2866" w:rsidRPr="008F0EF3" w:rsidRDefault="006F2866" w:rsidP="008F519B">
            <w:pPr>
              <w:spacing w:after="0" w:line="240" w:lineRule="auto"/>
              <w:rPr>
                <w:rFonts w:ascii="Arial" w:eastAsia="Times New Roman" w:hAnsi="Arial" w:cs="Arial"/>
                <w:color w:val="FF0000"/>
                <w:sz w:val="28"/>
                <w:szCs w:val="28"/>
                <w:lang w:eastAsia="en-ZA"/>
              </w:rPr>
            </w:pPr>
            <w:r w:rsidRPr="008F0EF3">
              <w:rPr>
                <w:rFonts w:ascii="Arial" w:eastAsia="Times New Roman" w:hAnsi="Arial" w:cs="Arial"/>
                <w:sz w:val="18"/>
                <w:szCs w:val="18"/>
                <w:lang w:eastAsia="en-ZA"/>
              </w:rPr>
              <w:t>Annexure I</w:t>
            </w: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658"/>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single" w:sz="4" w:space="0" w:color="auto"/>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arrangement/ plans:</w:t>
            </w:r>
            <w:r w:rsidRPr="008F519B">
              <w:rPr>
                <w:rFonts w:ascii="Calibri" w:eastAsia="Times New Roman" w:hAnsi="Calibri" w:cs="Calibri"/>
                <w:color w:val="000000"/>
                <w:sz w:val="18"/>
                <w:szCs w:val="18"/>
                <w:lang w:eastAsia="en-ZA"/>
              </w:rPr>
              <w:t xml:space="preserve"> Implementation plans outlined for the catalytic urban development programmes and the priority precinct inter-governmental project pipelines within them, in the implementation phase or moving into the implementation phase</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vAlign w:val="center"/>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6F286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6F2866" w:rsidRPr="008F0EF3" w:rsidRDefault="006F2866" w:rsidP="008F519B">
            <w:pPr>
              <w:spacing w:after="0" w:line="240" w:lineRule="auto"/>
              <w:rPr>
                <w:rFonts w:ascii="Arial" w:eastAsia="Times New Roman" w:hAnsi="Arial" w:cs="Arial"/>
                <w:color w:val="FF0000"/>
                <w:sz w:val="28"/>
                <w:szCs w:val="28"/>
                <w:lang w:eastAsia="en-ZA"/>
              </w:rPr>
            </w:pPr>
            <w:r w:rsidRPr="008F0EF3">
              <w:rPr>
                <w:rFonts w:ascii="Arial" w:eastAsia="Times New Roman" w:hAnsi="Arial" w:cs="Arial"/>
                <w:sz w:val="18"/>
                <w:szCs w:val="18"/>
                <w:lang w:eastAsia="en-ZA"/>
              </w:rPr>
              <w:t>Annexure I and J and narrative sections</w:t>
            </w:r>
            <w:r w:rsidRPr="008F0EF3">
              <w:rPr>
                <w:rFonts w:ascii="Arial" w:eastAsia="Times New Roman" w:hAnsi="Arial" w:cs="Arial"/>
                <w:color w:val="FF0000"/>
                <w:sz w:val="28"/>
                <w:szCs w:val="28"/>
                <w:lang w:eastAsia="en-ZA"/>
              </w:rPr>
              <w:t xml:space="preserve"> </w:t>
            </w: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058"/>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Land release strategies: </w:t>
            </w:r>
            <w:r w:rsidRPr="008F519B">
              <w:rPr>
                <w:rFonts w:ascii="Calibri" w:eastAsia="Times New Roman" w:hAnsi="Calibri" w:cs="Calibri"/>
                <w:color w:val="000000"/>
                <w:sz w:val="18"/>
                <w:szCs w:val="18"/>
                <w:lang w:eastAsia="en-ZA"/>
              </w:rPr>
              <w:t xml:space="preserve"> Evidence of an approach to land release in priority precincts inter-governmental project pipelines where relevant. </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vAlign w:val="center"/>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6F286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6F2866" w:rsidRPr="008F0EF3" w:rsidRDefault="006F2866" w:rsidP="008F519B">
            <w:pPr>
              <w:spacing w:after="0" w:line="240" w:lineRule="auto"/>
              <w:rPr>
                <w:rFonts w:ascii="Arial" w:eastAsia="Times New Roman" w:hAnsi="Arial" w:cs="Arial"/>
                <w:color w:val="FF0000"/>
                <w:sz w:val="28"/>
                <w:szCs w:val="28"/>
                <w:lang w:eastAsia="en-ZA"/>
              </w:rPr>
            </w:pPr>
            <w:r w:rsidRPr="008F0EF3">
              <w:rPr>
                <w:rFonts w:ascii="Arial" w:eastAsia="Times New Roman" w:hAnsi="Arial" w:cs="Arial"/>
                <w:sz w:val="18"/>
                <w:szCs w:val="18"/>
                <w:lang w:eastAsia="en-ZA"/>
              </w:rPr>
              <w:t>Section 5.1</w:t>
            </w: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20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Procurement/ transaction strategies: </w:t>
            </w:r>
            <w:r w:rsidRPr="008F519B">
              <w:rPr>
                <w:rFonts w:ascii="Calibri" w:eastAsia="Times New Roman" w:hAnsi="Calibri" w:cs="Calibri"/>
                <w:color w:val="000000"/>
                <w:sz w:val="18"/>
                <w:szCs w:val="18"/>
                <w:lang w:eastAsia="en-ZA"/>
              </w:rPr>
              <w:t>Evidence of a procurement approach for priority projects within priority precincts inter-governmental project pipelines where relevant.</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6F286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6F2866" w:rsidRPr="008F0EF3" w:rsidRDefault="006F2866" w:rsidP="008F519B">
            <w:pPr>
              <w:spacing w:after="0" w:line="240" w:lineRule="auto"/>
              <w:rPr>
                <w:rFonts w:ascii="Arial" w:eastAsia="Times New Roman" w:hAnsi="Arial" w:cs="Arial"/>
                <w:color w:val="FF0000"/>
                <w:sz w:val="28"/>
                <w:szCs w:val="28"/>
                <w:lang w:eastAsia="en-ZA"/>
              </w:rPr>
            </w:pPr>
            <w:r w:rsidRPr="008F0EF3">
              <w:rPr>
                <w:rFonts w:ascii="Arial" w:eastAsia="Times New Roman" w:hAnsi="Arial" w:cs="Arial"/>
                <w:sz w:val="18"/>
                <w:szCs w:val="18"/>
                <w:lang w:eastAsia="en-ZA"/>
              </w:rPr>
              <w:t>Section 5.2</w:t>
            </w: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20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Institutional arrangements: </w:t>
            </w:r>
            <w:r w:rsidRPr="008F519B">
              <w:rPr>
                <w:rFonts w:ascii="Calibri" w:eastAsia="Times New Roman" w:hAnsi="Calibri" w:cs="Calibri"/>
                <w:color w:val="000000"/>
                <w:sz w:val="18"/>
                <w:szCs w:val="18"/>
                <w:lang w:eastAsia="en-ZA"/>
              </w:rPr>
              <w:t>Evidence of institutional implementation co</w:t>
            </w:r>
            <w:r w:rsidR="00940498">
              <w:rPr>
                <w:rFonts w:ascii="Calibri" w:eastAsia="Times New Roman" w:hAnsi="Calibri" w:cs="Calibri"/>
                <w:color w:val="000000"/>
                <w:sz w:val="18"/>
                <w:szCs w:val="18"/>
                <w:lang w:eastAsia="en-ZA"/>
              </w:rPr>
              <w:t>o</w:t>
            </w:r>
            <w:r w:rsidRPr="008F519B">
              <w:rPr>
                <w:rFonts w:ascii="Calibri" w:eastAsia="Times New Roman" w:hAnsi="Calibri" w:cs="Calibri"/>
                <w:color w:val="000000"/>
                <w:sz w:val="18"/>
                <w:szCs w:val="18"/>
                <w:lang w:eastAsia="en-ZA"/>
              </w:rPr>
              <w:t xml:space="preserve">rdination structures for </w:t>
            </w:r>
            <w:r w:rsidR="005F333F">
              <w:rPr>
                <w:rFonts w:ascii="Calibri" w:eastAsia="Times New Roman" w:hAnsi="Calibri" w:cs="Calibri"/>
                <w:color w:val="000000"/>
                <w:sz w:val="18"/>
                <w:szCs w:val="18"/>
                <w:lang w:eastAsia="en-ZA"/>
              </w:rPr>
              <w:t>c</w:t>
            </w:r>
            <w:r w:rsidRPr="008F519B">
              <w:rPr>
                <w:rFonts w:ascii="Calibri" w:eastAsia="Times New Roman" w:hAnsi="Calibri" w:cs="Calibri"/>
                <w:color w:val="000000"/>
                <w:sz w:val="18"/>
                <w:szCs w:val="18"/>
                <w:lang w:eastAsia="en-ZA"/>
              </w:rPr>
              <w:t>atalytic urban development programmes and the priority precinct inter-governmental project pipelines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6F286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6F2866" w:rsidRDefault="006F2866"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This</w:t>
            </w:r>
            <w:r w:rsidR="00A81C8A" w:rsidRPr="008F0EF3">
              <w:rPr>
                <w:rFonts w:ascii="Arial" w:eastAsia="Times New Roman" w:hAnsi="Arial" w:cs="Arial"/>
                <w:sz w:val="18"/>
                <w:szCs w:val="18"/>
                <w:lang w:eastAsia="en-ZA"/>
              </w:rPr>
              <w:t xml:space="preserve"> </w:t>
            </w:r>
            <w:r w:rsidRPr="008F0EF3">
              <w:rPr>
                <w:rFonts w:ascii="Arial" w:eastAsia="Times New Roman" w:hAnsi="Arial" w:cs="Arial"/>
                <w:sz w:val="18"/>
                <w:szCs w:val="18"/>
                <w:lang w:eastAsia="en-ZA"/>
              </w:rPr>
              <w:t>is done t</w:t>
            </w:r>
            <w:r w:rsidR="00A81C8A" w:rsidRPr="008F0EF3">
              <w:rPr>
                <w:rFonts w:ascii="Arial" w:eastAsia="Times New Roman" w:hAnsi="Arial" w:cs="Arial"/>
                <w:sz w:val="18"/>
                <w:szCs w:val="18"/>
                <w:lang w:eastAsia="en-ZA"/>
              </w:rPr>
              <w:t>hrough the BEPP multi Sectoral T</w:t>
            </w:r>
            <w:r w:rsidRPr="008F0EF3">
              <w:rPr>
                <w:rFonts w:ascii="Arial" w:eastAsia="Times New Roman" w:hAnsi="Arial" w:cs="Arial"/>
                <w:sz w:val="18"/>
                <w:szCs w:val="18"/>
                <w:lang w:eastAsia="en-ZA"/>
              </w:rPr>
              <w:t xml:space="preserve">ask Team described in 1.2.5. as well the Catalytic programme Template described in more detail in section   </w:t>
            </w:r>
            <w:r w:rsidR="00A81C8A" w:rsidRPr="008F0EF3">
              <w:rPr>
                <w:rFonts w:ascii="Arial" w:eastAsia="Times New Roman" w:hAnsi="Arial" w:cs="Arial"/>
                <w:sz w:val="18"/>
                <w:szCs w:val="18"/>
                <w:lang w:eastAsia="en-ZA"/>
              </w:rPr>
              <w:t xml:space="preserve">2.2 </w:t>
            </w:r>
            <w:r w:rsidRPr="008F0EF3">
              <w:rPr>
                <w:rFonts w:ascii="Arial" w:eastAsia="Times New Roman" w:hAnsi="Arial" w:cs="Arial"/>
                <w:sz w:val="18"/>
                <w:szCs w:val="18"/>
                <w:lang w:eastAsia="en-ZA"/>
              </w:rPr>
              <w:t>and Annexure</w:t>
            </w:r>
            <w:r w:rsidR="00A81C8A" w:rsidRPr="008F0EF3">
              <w:rPr>
                <w:rFonts w:ascii="Arial" w:eastAsia="Times New Roman" w:hAnsi="Arial" w:cs="Arial"/>
                <w:sz w:val="18"/>
                <w:szCs w:val="18"/>
                <w:lang w:eastAsia="en-ZA"/>
              </w:rPr>
              <w:t xml:space="preserve"> “H”</w:t>
            </w:r>
          </w:p>
          <w:p w:rsidR="008F0EF3" w:rsidRPr="008F0EF3" w:rsidRDefault="008F0EF3" w:rsidP="008F519B">
            <w:pPr>
              <w:spacing w:after="0" w:line="240" w:lineRule="auto"/>
              <w:rPr>
                <w:rFonts w:ascii="Arial" w:eastAsia="Times New Roman" w:hAnsi="Arial" w:cs="Arial"/>
                <w:color w:val="FF0000"/>
                <w:sz w:val="28"/>
                <w:szCs w:val="28"/>
                <w:lang w:eastAsia="en-ZA"/>
              </w:rPr>
            </w:pP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803"/>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Private sector investment</w:t>
            </w:r>
            <w:r w:rsidRPr="008F519B">
              <w:rPr>
                <w:rFonts w:ascii="Calibri" w:eastAsia="Times New Roman" w:hAnsi="Calibri" w:cs="Calibri"/>
                <w:color w:val="000000"/>
                <w:sz w:val="18"/>
                <w:szCs w:val="18"/>
                <w:lang w:eastAsia="en-ZA"/>
              </w:rPr>
              <w:t>: Incentive schemes in place or being planned to reinforce catalytic urban development programmes identified</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A81C8A"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A81C8A" w:rsidRDefault="00A81C8A"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5.3</w:t>
            </w:r>
          </w:p>
          <w:p w:rsidR="008F0EF3" w:rsidRDefault="008F0EF3" w:rsidP="008F519B">
            <w:pPr>
              <w:spacing w:after="0" w:line="240" w:lineRule="auto"/>
              <w:rPr>
                <w:rFonts w:ascii="Arial" w:eastAsia="Times New Roman" w:hAnsi="Arial" w:cs="Arial"/>
                <w:sz w:val="18"/>
                <w:szCs w:val="18"/>
                <w:lang w:eastAsia="en-ZA"/>
              </w:rPr>
            </w:pPr>
          </w:p>
          <w:p w:rsidR="008F0EF3" w:rsidRDefault="008F0EF3" w:rsidP="008F519B">
            <w:pPr>
              <w:spacing w:after="0" w:line="240" w:lineRule="auto"/>
              <w:rPr>
                <w:rFonts w:ascii="Arial" w:eastAsia="Times New Roman" w:hAnsi="Arial" w:cs="Arial"/>
                <w:sz w:val="18"/>
                <w:szCs w:val="18"/>
                <w:lang w:eastAsia="en-ZA"/>
              </w:rPr>
            </w:pPr>
          </w:p>
          <w:p w:rsidR="008F0EF3" w:rsidRDefault="008F0EF3" w:rsidP="008F519B">
            <w:pPr>
              <w:spacing w:after="0" w:line="240" w:lineRule="auto"/>
              <w:rPr>
                <w:rFonts w:ascii="Arial" w:eastAsia="Times New Roman" w:hAnsi="Arial" w:cs="Arial"/>
                <w:sz w:val="18"/>
                <w:szCs w:val="18"/>
                <w:lang w:eastAsia="en-ZA"/>
              </w:rPr>
            </w:pPr>
          </w:p>
          <w:p w:rsidR="008F0EF3" w:rsidRPr="008F0EF3" w:rsidRDefault="008F0EF3" w:rsidP="008F519B">
            <w:pPr>
              <w:spacing w:after="0" w:line="240" w:lineRule="auto"/>
              <w:rPr>
                <w:rFonts w:ascii="Arial" w:eastAsia="Times New Roman" w:hAnsi="Arial" w:cs="Arial"/>
                <w:color w:val="FF0000"/>
                <w:sz w:val="28"/>
                <w:szCs w:val="28"/>
                <w:lang w:eastAsia="en-ZA"/>
              </w:rPr>
            </w:pP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92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Regulatory reform</w:t>
            </w:r>
            <w:r w:rsidRPr="008F519B">
              <w:rPr>
                <w:rFonts w:ascii="Calibri" w:eastAsia="Times New Roman" w:hAnsi="Calibri" w:cs="Calibri"/>
                <w:color w:val="000000"/>
                <w:sz w:val="18"/>
                <w:szCs w:val="18"/>
                <w:lang w:eastAsia="en-ZA"/>
              </w:rPr>
              <w:t xml:space="preserve">: Regulatory reforms required to stimulate investment or remove barriers to investment in the spatially targeted categories and priority precincts are identified and the plans in place to implement these reforms are outlined including resourcing committed and support required. </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A81C8A" w:rsidRPr="008F0EF3" w:rsidRDefault="00A81C8A" w:rsidP="00A81C8A">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A81C8A" w:rsidRDefault="00A81C8A" w:rsidP="00A81C8A">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5.3</w:t>
            </w: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Default="008F0EF3" w:rsidP="00A81C8A">
            <w:pPr>
              <w:spacing w:after="0" w:line="240" w:lineRule="auto"/>
              <w:rPr>
                <w:rFonts w:ascii="Arial" w:eastAsia="Times New Roman" w:hAnsi="Arial" w:cs="Arial"/>
                <w:sz w:val="18"/>
                <w:szCs w:val="18"/>
                <w:lang w:eastAsia="en-ZA"/>
              </w:rPr>
            </w:pPr>
          </w:p>
          <w:p w:rsidR="008F0EF3" w:rsidRPr="008F0EF3" w:rsidRDefault="008F0EF3" w:rsidP="00A81C8A">
            <w:pPr>
              <w:spacing w:after="0" w:line="240" w:lineRule="auto"/>
              <w:rPr>
                <w:rFonts w:ascii="Arial" w:eastAsia="Times New Roman" w:hAnsi="Arial" w:cs="Arial"/>
                <w:color w:val="FF0000"/>
                <w:sz w:val="28"/>
                <w:szCs w:val="28"/>
                <w:lang w:eastAsia="en-ZA"/>
              </w:rPr>
            </w:pP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009"/>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Institutional maturity</w:t>
            </w:r>
            <w:r w:rsidRPr="008F519B">
              <w:rPr>
                <w:rFonts w:ascii="Calibri" w:eastAsia="Times New Roman" w:hAnsi="Calibri" w:cs="Calibri"/>
                <w:color w:val="000000"/>
                <w:sz w:val="18"/>
                <w:szCs w:val="18"/>
                <w:lang w:eastAsia="en-ZA"/>
              </w:rPr>
              <w:t xml:space="preserve">: Systemic challenges experienced in implementation processes and solutions found/ </w:t>
            </w:r>
            <w:proofErr w:type="gramStart"/>
            <w:r w:rsidRPr="008F519B">
              <w:rPr>
                <w:rFonts w:ascii="Calibri" w:eastAsia="Times New Roman" w:hAnsi="Calibri" w:cs="Calibri"/>
                <w:color w:val="000000"/>
                <w:sz w:val="18"/>
                <w:szCs w:val="18"/>
                <w:lang w:eastAsia="en-ZA"/>
              </w:rPr>
              <w:t>explored  are</w:t>
            </w:r>
            <w:proofErr w:type="gramEnd"/>
            <w:r w:rsidRPr="008F519B">
              <w:rPr>
                <w:rFonts w:ascii="Calibri" w:eastAsia="Times New Roman" w:hAnsi="Calibri" w:cs="Calibri"/>
                <w:color w:val="000000"/>
                <w:sz w:val="18"/>
                <w:szCs w:val="18"/>
                <w:lang w:eastAsia="en-ZA"/>
              </w:rPr>
              <w:t xml:space="preserve"> documented. Risks and risk mitigation strategies are identified</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A81C8A"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A81C8A" w:rsidRPr="008F0EF3" w:rsidRDefault="00A81C8A" w:rsidP="008F519B">
            <w:pPr>
              <w:spacing w:after="0" w:line="240" w:lineRule="auto"/>
              <w:rPr>
                <w:rFonts w:ascii="Arial" w:eastAsia="Times New Roman" w:hAnsi="Arial" w:cs="Arial"/>
                <w:color w:val="FF0000"/>
                <w:sz w:val="28"/>
                <w:szCs w:val="28"/>
                <w:lang w:eastAsia="en-ZA"/>
              </w:rPr>
            </w:pPr>
            <w:r w:rsidRPr="008F0EF3">
              <w:rPr>
                <w:rFonts w:ascii="Arial" w:eastAsia="Times New Roman" w:hAnsi="Arial" w:cs="Arial"/>
                <w:sz w:val="18"/>
                <w:szCs w:val="18"/>
                <w:lang w:eastAsia="en-ZA"/>
              </w:rPr>
              <w:t>1.2.5 as well as 3.3.3</w:t>
            </w:r>
          </w:p>
        </w:tc>
        <w:tc>
          <w:tcPr>
            <w:tcW w:w="200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252"/>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8386" w:type="dxa"/>
            <w:gridSpan w:val="6"/>
            <w:tcBorders>
              <w:top w:val="single" w:sz="4" w:space="0" w:color="auto"/>
              <w:left w:val="nil"/>
              <w:bottom w:val="single" w:sz="4" w:space="0" w:color="auto"/>
              <w:right w:val="single" w:sz="4" w:space="0" w:color="000000"/>
            </w:tcBorders>
            <w:shd w:val="clear" w:color="000000" w:fill="DAEEF3"/>
            <w:hideMark/>
          </w:tcPr>
          <w:p w:rsidR="008F519B" w:rsidRPr="008F519B" w:rsidRDefault="008F519B" w:rsidP="008F519B">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Component Section E Total</w:t>
            </w:r>
          </w:p>
        </w:tc>
        <w:tc>
          <w:tcPr>
            <w:tcW w:w="1100" w:type="dxa"/>
            <w:gridSpan w:val="2"/>
            <w:tcBorders>
              <w:top w:val="nil"/>
              <w:left w:val="nil"/>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75"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0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bl>
    <w:p w:rsidR="008F519B" w:rsidRDefault="008F519B">
      <w:pPr>
        <w:rPr>
          <w:rFonts w:ascii="Arial" w:hAnsi="Arial" w:cs="Arial"/>
          <w:sz w:val="18"/>
          <w:szCs w:val="18"/>
        </w:rPr>
      </w:pPr>
    </w:p>
    <w:p w:rsidR="008F0EF3" w:rsidRDefault="008F0EF3">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F</w:t>
      </w:r>
    </w:p>
    <w:p w:rsidR="008F519B" w:rsidRDefault="008F519B" w:rsidP="00AA2470">
      <w:pPr>
        <w:rPr>
          <w:rFonts w:ascii="Arial" w:hAnsi="Arial" w:cs="Arial"/>
          <w:sz w:val="18"/>
          <w:szCs w:val="18"/>
        </w:rPr>
      </w:pPr>
    </w:p>
    <w:tbl>
      <w:tblPr>
        <w:tblW w:w="15101" w:type="dxa"/>
        <w:tblLook w:val="04A0" w:firstRow="1" w:lastRow="0" w:firstColumn="1" w:lastColumn="0" w:noHBand="0" w:noVBand="1"/>
      </w:tblPr>
      <w:tblGrid>
        <w:gridCol w:w="1580"/>
        <w:gridCol w:w="2673"/>
        <w:gridCol w:w="1500"/>
        <w:gridCol w:w="1420"/>
        <w:gridCol w:w="1440"/>
        <w:gridCol w:w="1340"/>
        <w:gridCol w:w="13"/>
        <w:gridCol w:w="1087"/>
        <w:gridCol w:w="13"/>
        <w:gridCol w:w="1975"/>
        <w:gridCol w:w="2060"/>
      </w:tblGrid>
      <w:tr w:rsidR="008F519B" w:rsidRPr="008F519B" w:rsidTr="008F519B">
        <w:trPr>
          <w:trHeight w:val="240"/>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2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4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40"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198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06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240"/>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20"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40"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40"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198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06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495"/>
          <w:tblHeader/>
        </w:trPr>
        <w:tc>
          <w:tcPr>
            <w:tcW w:w="158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2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4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40"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0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1988"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06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8F519B">
        <w:trPr>
          <w:trHeight w:val="255"/>
          <w:tblHeader/>
        </w:trPr>
        <w:tc>
          <w:tcPr>
            <w:tcW w:w="1580"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73"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0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2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40" w:type="dxa"/>
            <w:tcBorders>
              <w:top w:val="single" w:sz="8" w:space="0" w:color="auto"/>
              <w:left w:val="nil"/>
              <w:bottom w:val="nil"/>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40" w:type="dxa"/>
            <w:tcBorders>
              <w:top w:val="single" w:sz="8" w:space="0" w:color="auto"/>
              <w:left w:val="nil"/>
              <w:bottom w:val="nil"/>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0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8F519B" w:rsidRPr="008F519B" w:rsidTr="008F519B">
        <w:trPr>
          <w:trHeight w:val="503"/>
          <w:tblHeader/>
        </w:trPr>
        <w:tc>
          <w:tcPr>
            <w:tcW w:w="4253" w:type="dxa"/>
            <w:gridSpan w:val="2"/>
            <w:tcBorders>
              <w:top w:val="single" w:sz="8" w:space="0" w:color="auto"/>
              <w:left w:val="nil"/>
              <w:bottom w:val="single" w:sz="4" w:space="0" w:color="auto"/>
              <w:right w:val="single" w:sz="4" w:space="0" w:color="000000"/>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00"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940498">
        <w:trPr>
          <w:trHeight w:val="1703"/>
        </w:trPr>
        <w:tc>
          <w:tcPr>
            <w:tcW w:w="1580" w:type="dxa"/>
            <w:vMerge w:val="restart"/>
            <w:tcBorders>
              <w:top w:val="nil"/>
              <w:left w:val="single" w:sz="4" w:space="0" w:color="auto"/>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F. Targeted Urban Management</w:t>
            </w: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Precinct Management Planning:</w:t>
            </w:r>
            <w:r w:rsidRPr="008F519B">
              <w:rPr>
                <w:rFonts w:ascii="Calibri" w:eastAsia="Times New Roman" w:hAnsi="Calibri" w:cs="Calibri"/>
                <w:color w:val="000000"/>
                <w:sz w:val="18"/>
                <w:szCs w:val="18"/>
                <w:lang w:eastAsia="en-ZA"/>
              </w:rPr>
              <w:t xml:space="preserve"> Evidence of precinct management plans or progress with establishing precinct management plans for priority precincts and economic nodes.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A81C8A" w:rsidRPr="008F0EF3" w:rsidRDefault="00A81C8A"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8F519B" w:rsidRPr="008F0EF3" w:rsidRDefault="00A81C8A"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Section 6</w:t>
            </w:r>
            <w:r w:rsidR="005F333F" w:rsidRPr="008F0EF3">
              <w:rPr>
                <w:rFonts w:ascii="Arial" w:eastAsia="Times New Roman" w:hAnsi="Arial" w:cs="Arial"/>
                <w:sz w:val="18"/>
                <w:szCs w:val="18"/>
                <w:lang w:eastAsia="en-ZA"/>
              </w:rPr>
              <w:t>.1 and Table</w:t>
            </w:r>
            <w:r w:rsidR="00940498" w:rsidRPr="008F0EF3">
              <w:rPr>
                <w:rFonts w:ascii="Arial" w:eastAsia="Times New Roman" w:hAnsi="Arial" w:cs="Arial"/>
                <w:sz w:val="18"/>
                <w:szCs w:val="18"/>
                <w:lang w:eastAsia="en-ZA"/>
              </w:rPr>
              <w:t xml:space="preserve"> 15</w:t>
            </w:r>
          </w:p>
        </w:tc>
        <w:tc>
          <w:tcPr>
            <w:tcW w:w="206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703"/>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Precinct Management Initiatives: </w:t>
            </w:r>
            <w:r w:rsidRPr="008F519B">
              <w:rPr>
                <w:rFonts w:ascii="Calibri" w:eastAsia="Times New Roman" w:hAnsi="Calibri" w:cs="Calibri"/>
                <w:color w:val="000000"/>
                <w:sz w:val="18"/>
                <w:szCs w:val="18"/>
                <w:lang w:eastAsia="en-ZA"/>
              </w:rPr>
              <w:t>Evidence of existing precinct management initiatives supporting the prioritised IZ precincts and progress with establishing Precinct Management Plans for priority precincts and economic nodes.</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A81C8A" w:rsidRPr="008F0EF3" w:rsidRDefault="00A81C8A"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Gold</w:t>
            </w:r>
          </w:p>
          <w:p w:rsidR="008F519B" w:rsidRPr="008F0EF3" w:rsidRDefault="005F333F" w:rsidP="00A81C8A">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Section </w:t>
            </w:r>
            <w:r w:rsidR="00A81C8A" w:rsidRPr="008F0EF3">
              <w:rPr>
                <w:rFonts w:ascii="Arial" w:eastAsia="Times New Roman" w:hAnsi="Arial" w:cs="Arial"/>
                <w:sz w:val="18"/>
                <w:szCs w:val="18"/>
                <w:lang w:eastAsia="en-ZA"/>
              </w:rPr>
              <w:t>6.1.and T</w:t>
            </w:r>
            <w:r w:rsidRPr="008F0EF3">
              <w:rPr>
                <w:rFonts w:ascii="Arial" w:eastAsia="Times New Roman" w:hAnsi="Arial" w:cs="Arial"/>
                <w:sz w:val="18"/>
                <w:szCs w:val="18"/>
                <w:lang w:eastAsia="en-ZA"/>
              </w:rPr>
              <w:t xml:space="preserve">able </w:t>
            </w:r>
            <w:r w:rsidR="00940498" w:rsidRPr="008F0EF3">
              <w:rPr>
                <w:rFonts w:ascii="Arial" w:eastAsia="Times New Roman" w:hAnsi="Arial" w:cs="Arial"/>
                <w:sz w:val="18"/>
                <w:szCs w:val="18"/>
                <w:lang w:eastAsia="en-ZA"/>
              </w:rPr>
              <w:t>15</w:t>
            </w:r>
          </w:p>
        </w:tc>
        <w:tc>
          <w:tcPr>
            <w:tcW w:w="206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740"/>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73" w:type="dxa"/>
            <w:tcBorders>
              <w:top w:val="single" w:sz="4" w:space="0" w:color="auto"/>
              <w:left w:val="nil"/>
              <w:bottom w:val="nil"/>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Institutional Arrangements: </w:t>
            </w:r>
            <w:r w:rsidRPr="008F519B">
              <w:rPr>
                <w:rFonts w:ascii="Calibri" w:eastAsia="Times New Roman" w:hAnsi="Calibri" w:cs="Calibri"/>
                <w:color w:val="000000"/>
                <w:sz w:val="18"/>
                <w:szCs w:val="18"/>
                <w:lang w:eastAsia="en-ZA"/>
              </w:rPr>
              <w:t xml:space="preserve">Institutional arrangements within Metros and intergovernmental arrangements that support the alignment of resources to urban management and coordinated urban management  in priority precincts and economic nodes where the public sector is responsible </w:t>
            </w:r>
          </w:p>
        </w:tc>
        <w:tc>
          <w:tcPr>
            <w:tcW w:w="150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88" w:type="dxa"/>
            <w:gridSpan w:val="2"/>
            <w:tcBorders>
              <w:top w:val="nil"/>
              <w:left w:val="nil"/>
              <w:bottom w:val="single" w:sz="4" w:space="0" w:color="auto"/>
              <w:right w:val="single" w:sz="4" w:space="0" w:color="auto"/>
            </w:tcBorders>
            <w:shd w:val="clear" w:color="auto" w:fill="auto"/>
            <w:hideMark/>
          </w:tcPr>
          <w:p w:rsidR="008F519B" w:rsidRPr="008F0EF3" w:rsidRDefault="00AE447B"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AE447B" w:rsidRPr="008F0EF3" w:rsidRDefault="00AE447B" w:rsidP="008F519B">
            <w:pPr>
              <w:spacing w:after="0" w:line="240" w:lineRule="auto"/>
              <w:rPr>
                <w:rFonts w:ascii="Arial" w:eastAsia="Times New Roman" w:hAnsi="Arial" w:cs="Arial"/>
                <w:sz w:val="28"/>
                <w:szCs w:val="28"/>
                <w:lang w:eastAsia="en-ZA"/>
              </w:rPr>
            </w:pPr>
            <w:r w:rsidRPr="008F0EF3">
              <w:rPr>
                <w:rFonts w:ascii="Arial" w:eastAsia="Times New Roman" w:hAnsi="Arial" w:cs="Arial"/>
                <w:sz w:val="18"/>
                <w:szCs w:val="18"/>
                <w:lang w:eastAsia="en-ZA"/>
              </w:rPr>
              <w:t xml:space="preserve">Narrative in section 6.1  </w:t>
            </w:r>
            <w:r w:rsidR="00940498" w:rsidRPr="008F0EF3">
              <w:rPr>
                <w:rFonts w:ascii="Arial" w:eastAsia="Times New Roman" w:hAnsi="Arial" w:cs="Arial"/>
                <w:sz w:val="18"/>
                <w:szCs w:val="18"/>
                <w:lang w:eastAsia="en-ZA"/>
              </w:rPr>
              <w:t>Precinct Management Table 15</w:t>
            </w:r>
          </w:p>
        </w:tc>
        <w:tc>
          <w:tcPr>
            <w:tcW w:w="2060"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252"/>
        </w:trPr>
        <w:tc>
          <w:tcPr>
            <w:tcW w:w="1580"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8386" w:type="dxa"/>
            <w:gridSpan w:val="6"/>
            <w:tcBorders>
              <w:top w:val="single" w:sz="4" w:space="0" w:color="auto"/>
              <w:left w:val="nil"/>
              <w:bottom w:val="single" w:sz="4" w:space="0" w:color="auto"/>
              <w:right w:val="single" w:sz="4" w:space="0" w:color="auto"/>
            </w:tcBorders>
            <w:shd w:val="clear" w:color="000000" w:fill="DAEEF3"/>
            <w:hideMark/>
          </w:tcPr>
          <w:p w:rsidR="008F519B" w:rsidRPr="008F519B" w:rsidRDefault="008F519B" w:rsidP="008F519B">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Section F Total</w:t>
            </w:r>
          </w:p>
        </w:tc>
        <w:tc>
          <w:tcPr>
            <w:tcW w:w="1100" w:type="dxa"/>
            <w:gridSpan w:val="2"/>
            <w:tcBorders>
              <w:top w:val="nil"/>
              <w:left w:val="nil"/>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975"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60"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bl>
    <w:p w:rsidR="008F519B" w:rsidRDefault="008F519B">
      <w:pPr>
        <w:rPr>
          <w:rFonts w:ascii="Arial" w:hAnsi="Arial" w:cs="Arial"/>
          <w:sz w:val="18"/>
          <w:szCs w:val="18"/>
        </w:rPr>
      </w:pP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SECTION G</w:t>
      </w:r>
    </w:p>
    <w:p w:rsidR="008F519B" w:rsidRDefault="008F519B" w:rsidP="00AA2470">
      <w:pPr>
        <w:rPr>
          <w:rFonts w:ascii="Arial" w:hAnsi="Arial" w:cs="Arial"/>
          <w:sz w:val="18"/>
          <w:szCs w:val="18"/>
        </w:rPr>
      </w:pPr>
    </w:p>
    <w:tbl>
      <w:tblPr>
        <w:tblW w:w="15026" w:type="dxa"/>
        <w:tblLook w:val="04A0" w:firstRow="1" w:lastRow="0" w:firstColumn="1" w:lastColumn="0" w:noHBand="0" w:noVBand="1"/>
      </w:tblPr>
      <w:tblGrid>
        <w:gridCol w:w="1596"/>
        <w:gridCol w:w="2657"/>
        <w:gridCol w:w="1516"/>
        <w:gridCol w:w="1436"/>
        <w:gridCol w:w="1456"/>
        <w:gridCol w:w="1356"/>
        <w:gridCol w:w="15"/>
        <w:gridCol w:w="1101"/>
        <w:gridCol w:w="15"/>
        <w:gridCol w:w="2035"/>
        <w:gridCol w:w="1843"/>
      </w:tblGrid>
      <w:tr w:rsidR="008F519B" w:rsidRPr="008F519B" w:rsidTr="00225FE7">
        <w:trPr>
          <w:trHeight w:val="240"/>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4"/>
                <w:szCs w:val="24"/>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tin</w:t>
            </w:r>
          </w:p>
        </w:tc>
        <w:tc>
          <w:tcPr>
            <w:tcW w:w="143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silver</w:t>
            </w:r>
          </w:p>
        </w:tc>
        <w:tc>
          <w:tcPr>
            <w:tcW w:w="145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gold</w:t>
            </w:r>
          </w:p>
        </w:tc>
        <w:tc>
          <w:tcPr>
            <w:tcW w:w="1356" w:type="dxa"/>
            <w:tcBorders>
              <w:top w:val="single" w:sz="4" w:space="0" w:color="auto"/>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platinum</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5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225FE7">
        <w:trPr>
          <w:trHeight w:val="240"/>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nil"/>
              <w:left w:val="single" w:sz="4" w:space="0" w:color="auto"/>
              <w:bottom w:val="single" w:sz="4" w:space="0" w:color="auto"/>
              <w:right w:val="single" w:sz="4" w:space="0" w:color="auto"/>
            </w:tcBorders>
            <w:shd w:val="clear" w:color="000000" w:fill="DDD9C4"/>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36" w:type="dxa"/>
            <w:tcBorders>
              <w:top w:val="nil"/>
              <w:left w:val="nil"/>
              <w:bottom w:val="single" w:sz="4" w:space="0" w:color="auto"/>
              <w:right w:val="single" w:sz="4" w:space="0" w:color="auto"/>
            </w:tcBorders>
            <w:shd w:val="clear" w:color="000000" w:fill="DDDDDD"/>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456" w:type="dxa"/>
            <w:tcBorders>
              <w:top w:val="nil"/>
              <w:left w:val="nil"/>
              <w:bottom w:val="single" w:sz="4" w:space="0" w:color="auto"/>
              <w:right w:val="single" w:sz="4" w:space="0" w:color="auto"/>
            </w:tcBorders>
            <w:shd w:val="clear" w:color="000000" w:fill="FFFF0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356" w:type="dxa"/>
            <w:tcBorders>
              <w:top w:val="nil"/>
              <w:left w:val="nil"/>
              <w:bottom w:val="single" w:sz="4" w:space="0" w:color="auto"/>
              <w:right w:val="single" w:sz="4" w:space="0" w:color="auto"/>
            </w:tcBorders>
            <w:shd w:val="clear" w:color="000000" w:fill="808080"/>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p>
        </w:tc>
        <w:tc>
          <w:tcPr>
            <w:tcW w:w="205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225FE7">
        <w:trPr>
          <w:trHeight w:val="495"/>
          <w:tblHeader/>
        </w:trPr>
        <w:tc>
          <w:tcPr>
            <w:tcW w:w="1596"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2657"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516" w:type="dxa"/>
            <w:tcBorders>
              <w:top w:val="nil"/>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Zero </w:t>
            </w:r>
            <w:proofErr w:type="spellStart"/>
            <w:r w:rsidRPr="008F519B">
              <w:rPr>
                <w:rFonts w:ascii="Calibri" w:eastAsia="Times New Roman" w:hAnsi="Calibri" w:cs="Calibri"/>
                <w:color w:val="000000"/>
                <w:sz w:val="18"/>
                <w:szCs w:val="18"/>
                <w:lang w:eastAsia="en-ZA"/>
              </w:rPr>
              <w:t>Fulfillment</w:t>
            </w:r>
            <w:proofErr w:type="spellEnd"/>
          </w:p>
        </w:tc>
        <w:tc>
          <w:tcPr>
            <w:tcW w:w="143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Partial </w:t>
            </w:r>
            <w:proofErr w:type="spellStart"/>
            <w:r w:rsidRPr="008F519B">
              <w:rPr>
                <w:rFonts w:ascii="Calibri" w:eastAsia="Times New Roman" w:hAnsi="Calibri" w:cs="Calibri"/>
                <w:color w:val="000000"/>
                <w:sz w:val="18"/>
                <w:szCs w:val="18"/>
                <w:lang w:eastAsia="en-ZA"/>
              </w:rPr>
              <w:t>Fulfillment</w:t>
            </w:r>
            <w:proofErr w:type="spellEnd"/>
          </w:p>
        </w:tc>
        <w:tc>
          <w:tcPr>
            <w:tcW w:w="145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Fulfilled</w:t>
            </w:r>
          </w:p>
        </w:tc>
        <w:tc>
          <w:tcPr>
            <w:tcW w:w="1356" w:type="dxa"/>
            <w:tcBorders>
              <w:top w:val="nil"/>
              <w:left w:val="nil"/>
              <w:bottom w:val="nil"/>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Exemplary</w:t>
            </w:r>
          </w:p>
        </w:tc>
        <w:tc>
          <w:tcPr>
            <w:tcW w:w="1116"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p>
        </w:tc>
        <w:tc>
          <w:tcPr>
            <w:tcW w:w="2050" w:type="dxa"/>
            <w:gridSpan w:val="2"/>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Times New Roman" w:eastAsia="Times New Roman" w:hAnsi="Times New Roman" w:cs="Times New Roman"/>
                <w:sz w:val="20"/>
                <w:szCs w:val="20"/>
                <w:lang w:eastAsia="en-ZA"/>
              </w:rPr>
            </w:pPr>
          </w:p>
        </w:tc>
      </w:tr>
      <w:tr w:rsidR="008F519B" w:rsidRPr="008F519B" w:rsidTr="00225FE7">
        <w:trPr>
          <w:trHeight w:val="255"/>
          <w:tblHeader/>
        </w:trPr>
        <w:tc>
          <w:tcPr>
            <w:tcW w:w="1596" w:type="dxa"/>
            <w:tcBorders>
              <w:top w:val="single" w:sz="8" w:space="0" w:color="auto"/>
              <w:left w:val="single" w:sz="8" w:space="0" w:color="auto"/>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BEPP Component</w:t>
            </w:r>
          </w:p>
        </w:tc>
        <w:tc>
          <w:tcPr>
            <w:tcW w:w="2657"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2018/19 - 2020/21 Standards</w:t>
            </w:r>
          </w:p>
        </w:tc>
        <w:tc>
          <w:tcPr>
            <w:tcW w:w="1516"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0</w:t>
            </w:r>
          </w:p>
        </w:tc>
        <w:tc>
          <w:tcPr>
            <w:tcW w:w="1436"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1</w:t>
            </w:r>
          </w:p>
        </w:tc>
        <w:tc>
          <w:tcPr>
            <w:tcW w:w="1456" w:type="dxa"/>
            <w:tcBorders>
              <w:top w:val="single" w:sz="8" w:space="0" w:color="auto"/>
              <w:left w:val="nil"/>
              <w:bottom w:val="single" w:sz="8"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2</w:t>
            </w:r>
          </w:p>
        </w:tc>
        <w:tc>
          <w:tcPr>
            <w:tcW w:w="1356" w:type="dxa"/>
            <w:tcBorders>
              <w:top w:val="single" w:sz="8" w:space="0" w:color="auto"/>
              <w:left w:val="nil"/>
              <w:bottom w:val="single" w:sz="8" w:space="0" w:color="auto"/>
              <w:right w:val="nil"/>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Level 3</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F519B" w:rsidRPr="008F519B" w:rsidRDefault="008F519B" w:rsidP="008F519B">
            <w:pPr>
              <w:spacing w:after="0" w:line="240" w:lineRule="auto"/>
              <w:jc w:val="center"/>
              <w:rPr>
                <w:rFonts w:ascii="Calibri" w:eastAsia="Times New Roman" w:hAnsi="Calibri" w:cs="Calibri"/>
                <w:color w:val="000000"/>
                <w:lang w:eastAsia="en-ZA"/>
              </w:rPr>
            </w:pPr>
            <w:r w:rsidRPr="008F519B">
              <w:rPr>
                <w:rFonts w:ascii="Calibri" w:eastAsia="Times New Roman" w:hAnsi="Calibri" w:cs="Calibri"/>
                <w:color w:val="000000"/>
                <w:lang w:eastAsia="en-ZA"/>
              </w:rPr>
              <w:t> </w:t>
            </w:r>
          </w:p>
        </w:tc>
        <w:tc>
          <w:tcPr>
            <w:tcW w:w="20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 xml:space="preserve">Qualitative Assessment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Support Requirements</w:t>
            </w:r>
          </w:p>
        </w:tc>
      </w:tr>
      <w:tr w:rsidR="008F519B" w:rsidRPr="008F519B" w:rsidTr="00225FE7">
        <w:trPr>
          <w:trHeight w:val="503"/>
          <w:tblHeader/>
        </w:trPr>
        <w:tc>
          <w:tcPr>
            <w:tcW w:w="4253" w:type="dxa"/>
            <w:gridSpan w:val="2"/>
            <w:tcBorders>
              <w:top w:val="single" w:sz="8" w:space="0" w:color="auto"/>
              <w:left w:val="nil"/>
              <w:bottom w:val="single" w:sz="4" w:space="0" w:color="auto"/>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516" w:type="dxa"/>
            <w:tcBorders>
              <w:top w:val="nil"/>
              <w:left w:val="nil"/>
              <w:bottom w:val="nil"/>
              <w:right w:val="nil"/>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0</w:t>
            </w:r>
          </w:p>
        </w:tc>
        <w:tc>
          <w:tcPr>
            <w:tcW w:w="1436" w:type="dxa"/>
            <w:tcBorders>
              <w:top w:val="nil"/>
              <w:left w:val="nil"/>
              <w:bottom w:val="nil"/>
              <w:right w:val="nil"/>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1</w:t>
            </w:r>
          </w:p>
        </w:tc>
        <w:tc>
          <w:tcPr>
            <w:tcW w:w="1456" w:type="dxa"/>
            <w:tcBorders>
              <w:top w:val="nil"/>
              <w:left w:val="nil"/>
              <w:bottom w:val="nil"/>
              <w:right w:val="nil"/>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2</w:t>
            </w:r>
          </w:p>
        </w:tc>
        <w:tc>
          <w:tcPr>
            <w:tcW w:w="1356" w:type="dxa"/>
            <w:tcBorders>
              <w:top w:val="nil"/>
              <w:left w:val="nil"/>
              <w:bottom w:val="nil"/>
              <w:right w:val="nil"/>
            </w:tcBorders>
            <w:shd w:val="clear" w:color="auto" w:fill="auto"/>
            <w:noWrap/>
            <w:vAlign w:val="bottom"/>
            <w:hideMark/>
          </w:tcPr>
          <w:p w:rsidR="008F519B" w:rsidRPr="008F519B" w:rsidRDefault="008F519B" w:rsidP="008F519B">
            <w:pPr>
              <w:spacing w:after="0" w:line="240" w:lineRule="auto"/>
              <w:jc w:val="center"/>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Score = 3</w:t>
            </w:r>
          </w:p>
        </w:tc>
        <w:tc>
          <w:tcPr>
            <w:tcW w:w="1116" w:type="dxa"/>
            <w:gridSpan w:val="2"/>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color w:val="000000"/>
                <w:lang w:eastAsia="en-ZA"/>
              </w:rPr>
            </w:pPr>
          </w:p>
        </w:tc>
        <w:tc>
          <w:tcPr>
            <w:tcW w:w="2050" w:type="dxa"/>
            <w:gridSpan w:val="2"/>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r>
      <w:tr w:rsidR="008F519B" w:rsidRPr="008F519B" w:rsidTr="008F519B">
        <w:trPr>
          <w:trHeight w:val="949"/>
        </w:trPr>
        <w:tc>
          <w:tcPr>
            <w:tcW w:w="1596" w:type="dxa"/>
            <w:vMerge w:val="restart"/>
            <w:tcBorders>
              <w:top w:val="nil"/>
              <w:left w:val="single" w:sz="4" w:space="0" w:color="auto"/>
              <w:bottom w:val="single" w:sz="4" w:space="0" w:color="000000"/>
              <w:right w:val="single" w:sz="4" w:space="0" w:color="auto"/>
            </w:tcBorders>
            <w:shd w:val="clear" w:color="000000" w:fill="DAEEF3"/>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G Reporting and Evaluation</w:t>
            </w: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Evaluation:</w:t>
            </w:r>
            <w:r w:rsidRPr="008F519B">
              <w:rPr>
                <w:rFonts w:ascii="Calibri" w:eastAsia="Times New Roman" w:hAnsi="Calibri" w:cs="Calibri"/>
                <w:color w:val="000000"/>
                <w:sz w:val="18"/>
                <w:szCs w:val="18"/>
                <w:lang w:eastAsia="en-ZA"/>
              </w:rPr>
              <w:t xml:space="preserve"> Evidence of the consolidation of all the individual BEPP Sections into a Theory of Change.</w:t>
            </w:r>
          </w:p>
        </w:tc>
        <w:tc>
          <w:tcPr>
            <w:tcW w:w="1516" w:type="dxa"/>
            <w:tcBorders>
              <w:top w:val="single" w:sz="4" w:space="0" w:color="auto"/>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single" w:sz="4" w:space="0" w:color="auto"/>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single" w:sz="4" w:space="0" w:color="auto"/>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single" w:sz="4" w:space="0" w:color="auto"/>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507F61"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Silver</w:t>
            </w:r>
          </w:p>
          <w:p w:rsidR="00AE447B" w:rsidRPr="008F0EF3" w:rsidRDefault="00AE447B" w:rsidP="008F519B">
            <w:pPr>
              <w:spacing w:after="0" w:line="240" w:lineRule="auto"/>
              <w:rPr>
                <w:rFonts w:ascii="Arial" w:eastAsia="Times New Roman" w:hAnsi="Arial" w:cs="Arial"/>
                <w:sz w:val="28"/>
                <w:szCs w:val="28"/>
                <w:lang w:eastAsia="en-ZA"/>
              </w:rPr>
            </w:pPr>
            <w:r w:rsidRPr="008F0EF3">
              <w:rPr>
                <w:rFonts w:ascii="Arial" w:eastAsia="Times New Roman" w:hAnsi="Arial" w:cs="Arial"/>
                <w:sz w:val="18"/>
                <w:szCs w:val="18"/>
                <w:lang w:eastAsia="en-ZA"/>
              </w:rPr>
              <w:t>Section 7.2 and Figure 34</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512"/>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Reporting: Adoption and measurement of city reported outcome indicators:</w:t>
            </w:r>
            <w:r w:rsidRPr="008F519B">
              <w:rPr>
                <w:rFonts w:ascii="Calibri" w:eastAsia="Times New Roman" w:hAnsi="Calibri" w:cs="Calibri"/>
                <w:color w:val="000000"/>
                <w:sz w:val="18"/>
                <w:szCs w:val="18"/>
                <w:lang w:eastAsia="en-ZA"/>
              </w:rPr>
              <w:t xml:space="preserve"> Performance for city reported outcome indicators for 2016/17 (WG8, WG13, WG17, CC1, CC3, IC1, IC2, IC3, IC4, IC5, IC6, IC7 AND PC4) as per format prescribed in Annexure 4 of the Supplementary Guideline.</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AE447B" w:rsidRPr="008F0EF3" w:rsidRDefault="00507F61"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 </w:t>
            </w:r>
          </w:p>
          <w:p w:rsidR="008F519B" w:rsidRPr="008F0EF3" w:rsidRDefault="00AE447B" w:rsidP="00AE447B">
            <w:pPr>
              <w:spacing w:after="0" w:line="240" w:lineRule="auto"/>
              <w:rPr>
                <w:rFonts w:ascii="Arial" w:eastAsia="Times New Roman" w:hAnsi="Arial" w:cs="Arial"/>
                <w:sz w:val="28"/>
                <w:szCs w:val="28"/>
                <w:lang w:eastAsia="en-ZA"/>
              </w:rPr>
            </w:pPr>
            <w:r w:rsidRPr="008F0EF3">
              <w:rPr>
                <w:rFonts w:ascii="Arial" w:eastAsia="Times New Roman" w:hAnsi="Arial" w:cs="Arial"/>
                <w:sz w:val="18"/>
                <w:szCs w:val="18"/>
                <w:lang w:eastAsia="en-ZA"/>
              </w:rPr>
              <w:t>Section 7.1 and Annexure “L”</w:t>
            </w:r>
            <w:r w:rsidR="00507F61" w:rsidRPr="008F0EF3">
              <w:rPr>
                <w:rFonts w:ascii="Arial" w:eastAsia="Times New Roman" w:hAnsi="Arial" w:cs="Arial"/>
                <w:sz w:val="28"/>
                <w:szCs w:val="28"/>
                <w:lang w:eastAsia="en-ZA"/>
              </w:rPr>
              <w:t xml:space="preserve"> </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223"/>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 xml:space="preserve">Reporting: Adoption and measurement of city reported  outcome indicators: </w:t>
            </w:r>
            <w:r w:rsidRPr="008F519B">
              <w:rPr>
                <w:rFonts w:ascii="Calibri" w:eastAsia="Times New Roman" w:hAnsi="Calibri" w:cs="Calibri"/>
                <w:color w:val="000000"/>
                <w:sz w:val="18"/>
                <w:szCs w:val="18"/>
                <w:lang w:eastAsia="en-ZA"/>
              </w:rPr>
              <w:t>If required, the proposed approach and timelines for the population of outstanding indicators for each year until 2020/21</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8F519B" w:rsidRPr="008F0EF3" w:rsidRDefault="00AE447B"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Platinum – </w:t>
            </w:r>
          </w:p>
          <w:p w:rsidR="00AE447B" w:rsidRPr="008F0EF3" w:rsidRDefault="00AE447B" w:rsidP="008F519B">
            <w:pPr>
              <w:spacing w:after="0" w:line="240" w:lineRule="auto"/>
              <w:rPr>
                <w:rFonts w:ascii="Arial" w:eastAsia="Times New Roman" w:hAnsi="Arial" w:cs="Arial"/>
                <w:sz w:val="28"/>
                <w:szCs w:val="28"/>
                <w:lang w:eastAsia="en-ZA"/>
              </w:rPr>
            </w:pPr>
            <w:r w:rsidRPr="008F0EF3">
              <w:rPr>
                <w:rFonts w:ascii="Arial" w:eastAsia="Times New Roman" w:hAnsi="Arial" w:cs="Arial"/>
                <w:sz w:val="18"/>
                <w:szCs w:val="18"/>
                <w:lang w:eastAsia="en-ZA"/>
              </w:rPr>
              <w:t>Not necessary</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940498">
        <w:trPr>
          <w:trHeight w:val="1223"/>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2657"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b/>
                <w:bCs/>
                <w:color w:val="000000"/>
                <w:sz w:val="18"/>
                <w:szCs w:val="18"/>
                <w:lang w:eastAsia="en-ZA"/>
              </w:rPr>
              <w:t>Evaluation</w:t>
            </w:r>
            <w:r w:rsidRPr="008F519B">
              <w:rPr>
                <w:rFonts w:ascii="Calibri" w:eastAsia="Times New Roman" w:hAnsi="Calibri" w:cs="Calibri"/>
                <w:color w:val="000000"/>
                <w:sz w:val="18"/>
                <w:szCs w:val="18"/>
                <w:lang w:eastAsia="en-ZA"/>
              </w:rPr>
              <w:t xml:space="preserve">: Self-assessment undertaken in terms of this evaluation framework. </w:t>
            </w:r>
          </w:p>
        </w:tc>
        <w:tc>
          <w:tcPr>
            <w:tcW w:w="151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No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3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evidence of partial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456" w:type="dxa"/>
            <w:tcBorders>
              <w:top w:val="nil"/>
              <w:left w:val="nil"/>
              <w:bottom w:val="single" w:sz="4" w:space="0" w:color="auto"/>
              <w:right w:val="single" w:sz="4" w:space="0" w:color="auto"/>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xml:space="preserve">Tangible and complete evidence of </w:t>
            </w:r>
            <w:proofErr w:type="spellStart"/>
            <w:r w:rsidRPr="008F519B">
              <w:rPr>
                <w:rFonts w:ascii="Calibri" w:eastAsia="Times New Roman" w:hAnsi="Calibri" w:cs="Calibri"/>
                <w:color w:val="000000"/>
                <w:sz w:val="18"/>
                <w:szCs w:val="18"/>
                <w:lang w:eastAsia="en-ZA"/>
              </w:rPr>
              <w:t>fulfillment</w:t>
            </w:r>
            <w:proofErr w:type="spellEnd"/>
            <w:r w:rsidRPr="008F519B">
              <w:rPr>
                <w:rFonts w:ascii="Calibri" w:eastAsia="Times New Roman" w:hAnsi="Calibri" w:cs="Calibri"/>
                <w:color w:val="000000"/>
                <w:sz w:val="18"/>
                <w:szCs w:val="18"/>
                <w:lang w:eastAsia="en-ZA"/>
              </w:rPr>
              <w:t xml:space="preserve"> of standard</w:t>
            </w:r>
          </w:p>
        </w:tc>
        <w:tc>
          <w:tcPr>
            <w:tcW w:w="1356" w:type="dxa"/>
            <w:tcBorders>
              <w:top w:val="nil"/>
              <w:left w:val="nil"/>
              <w:bottom w:val="single" w:sz="4" w:space="0" w:color="auto"/>
              <w:right w:val="nil"/>
            </w:tcBorders>
            <w:shd w:val="clear" w:color="auto" w:fill="auto"/>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L2 plus exceeds standard</w:t>
            </w:r>
          </w:p>
        </w:tc>
        <w:tc>
          <w:tcPr>
            <w:tcW w:w="1116" w:type="dxa"/>
            <w:gridSpan w:val="2"/>
            <w:tcBorders>
              <w:top w:val="nil"/>
              <w:left w:val="single" w:sz="4" w:space="0" w:color="auto"/>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50" w:type="dxa"/>
            <w:gridSpan w:val="2"/>
            <w:tcBorders>
              <w:top w:val="nil"/>
              <w:left w:val="nil"/>
              <w:bottom w:val="single" w:sz="4" w:space="0" w:color="auto"/>
              <w:right w:val="single" w:sz="4" w:space="0" w:color="auto"/>
            </w:tcBorders>
            <w:shd w:val="clear" w:color="auto" w:fill="auto"/>
            <w:hideMark/>
          </w:tcPr>
          <w:p w:rsidR="00AE447B" w:rsidRPr="008F0EF3" w:rsidRDefault="00AE447B" w:rsidP="008F519B">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p>
          <w:p w:rsidR="008F519B" w:rsidRPr="008F519B" w:rsidRDefault="00AE447B" w:rsidP="008F519B">
            <w:pPr>
              <w:spacing w:after="0" w:line="240" w:lineRule="auto"/>
              <w:rPr>
                <w:rFonts w:ascii="Calibri" w:eastAsia="Times New Roman" w:hAnsi="Calibri" w:cs="Calibri"/>
                <w:color w:val="FF0000"/>
                <w:sz w:val="28"/>
                <w:szCs w:val="28"/>
                <w:lang w:eastAsia="en-ZA"/>
              </w:rPr>
            </w:pPr>
            <w:r w:rsidRPr="008F0EF3">
              <w:rPr>
                <w:rFonts w:ascii="Arial" w:eastAsia="Times New Roman" w:hAnsi="Arial" w:cs="Arial"/>
                <w:sz w:val="18"/>
                <w:szCs w:val="18"/>
                <w:lang w:eastAsia="en-ZA"/>
              </w:rPr>
              <w:t>Annexure O</w:t>
            </w:r>
          </w:p>
        </w:tc>
        <w:tc>
          <w:tcPr>
            <w:tcW w:w="1843" w:type="dxa"/>
            <w:tcBorders>
              <w:top w:val="nil"/>
              <w:left w:val="nil"/>
              <w:bottom w:val="single" w:sz="4" w:space="0" w:color="auto"/>
              <w:right w:val="single" w:sz="4" w:space="0" w:color="auto"/>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r w:rsidR="008F519B" w:rsidRPr="008F519B" w:rsidTr="008F519B">
        <w:trPr>
          <w:trHeight w:val="300"/>
        </w:trPr>
        <w:tc>
          <w:tcPr>
            <w:tcW w:w="1596" w:type="dxa"/>
            <w:vMerge/>
            <w:tcBorders>
              <w:top w:val="nil"/>
              <w:left w:val="single" w:sz="4" w:space="0" w:color="auto"/>
              <w:bottom w:val="single" w:sz="4" w:space="0" w:color="000000"/>
              <w:right w:val="single" w:sz="4" w:space="0" w:color="auto"/>
            </w:tcBorders>
            <w:vAlign w:val="center"/>
            <w:hideMark/>
          </w:tcPr>
          <w:p w:rsidR="008F519B" w:rsidRPr="008F519B" w:rsidRDefault="008F519B" w:rsidP="008F519B">
            <w:pPr>
              <w:spacing w:after="0" w:line="240" w:lineRule="auto"/>
              <w:rPr>
                <w:rFonts w:ascii="Calibri" w:eastAsia="Times New Roman" w:hAnsi="Calibri" w:cs="Calibri"/>
                <w:b/>
                <w:bCs/>
                <w:color w:val="000000"/>
                <w:sz w:val="18"/>
                <w:szCs w:val="18"/>
                <w:lang w:eastAsia="en-ZA"/>
              </w:rPr>
            </w:pPr>
          </w:p>
        </w:tc>
        <w:tc>
          <w:tcPr>
            <w:tcW w:w="8436" w:type="dxa"/>
            <w:gridSpan w:val="6"/>
            <w:tcBorders>
              <w:top w:val="single" w:sz="4" w:space="0" w:color="auto"/>
              <w:left w:val="nil"/>
              <w:bottom w:val="single" w:sz="4" w:space="0" w:color="auto"/>
              <w:right w:val="single" w:sz="4" w:space="0" w:color="000000"/>
            </w:tcBorders>
            <w:shd w:val="clear" w:color="000000" w:fill="DAEEF3"/>
            <w:hideMark/>
          </w:tcPr>
          <w:p w:rsidR="008F519B" w:rsidRPr="008F519B" w:rsidRDefault="008F519B" w:rsidP="008F519B">
            <w:pPr>
              <w:spacing w:after="0" w:line="240" w:lineRule="auto"/>
              <w:jc w:val="right"/>
              <w:rPr>
                <w:rFonts w:ascii="Calibri" w:eastAsia="Times New Roman" w:hAnsi="Calibri" w:cs="Calibri"/>
                <w:b/>
                <w:bCs/>
                <w:color w:val="000000"/>
                <w:sz w:val="18"/>
                <w:szCs w:val="18"/>
                <w:lang w:eastAsia="en-ZA"/>
              </w:rPr>
            </w:pPr>
            <w:r w:rsidRPr="008F519B">
              <w:rPr>
                <w:rFonts w:ascii="Calibri" w:eastAsia="Times New Roman" w:hAnsi="Calibri" w:cs="Calibri"/>
                <w:b/>
                <w:bCs/>
                <w:color w:val="000000"/>
                <w:sz w:val="18"/>
                <w:szCs w:val="18"/>
                <w:lang w:eastAsia="en-ZA"/>
              </w:rPr>
              <w:t>Section G Total</w:t>
            </w:r>
          </w:p>
        </w:tc>
        <w:tc>
          <w:tcPr>
            <w:tcW w:w="1116" w:type="dxa"/>
            <w:gridSpan w:val="2"/>
            <w:tcBorders>
              <w:top w:val="nil"/>
              <w:left w:val="nil"/>
              <w:bottom w:val="single" w:sz="4" w:space="0" w:color="auto"/>
              <w:right w:val="single" w:sz="4" w:space="0" w:color="auto"/>
            </w:tcBorders>
            <w:shd w:val="clear" w:color="000000" w:fill="DAEEF3"/>
            <w:noWrap/>
            <w:hideMark/>
          </w:tcPr>
          <w:p w:rsidR="008F519B" w:rsidRPr="008F519B" w:rsidRDefault="008F519B" w:rsidP="008F519B">
            <w:pPr>
              <w:spacing w:after="0" w:line="240" w:lineRule="auto"/>
              <w:jc w:val="center"/>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2035"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c>
          <w:tcPr>
            <w:tcW w:w="1843" w:type="dxa"/>
            <w:tcBorders>
              <w:top w:val="nil"/>
              <w:left w:val="nil"/>
              <w:bottom w:val="nil"/>
              <w:right w:val="nil"/>
            </w:tcBorders>
            <w:shd w:val="clear" w:color="auto" w:fill="auto"/>
            <w:noWrap/>
            <w:hideMark/>
          </w:tcPr>
          <w:p w:rsidR="008F519B" w:rsidRPr="008F519B" w:rsidRDefault="008F519B" w:rsidP="008F519B">
            <w:pPr>
              <w:spacing w:after="0" w:line="240" w:lineRule="auto"/>
              <w:rPr>
                <w:rFonts w:ascii="Calibri" w:eastAsia="Times New Roman" w:hAnsi="Calibri" w:cs="Calibri"/>
                <w:color w:val="000000"/>
                <w:sz w:val="18"/>
                <w:szCs w:val="18"/>
                <w:lang w:eastAsia="en-ZA"/>
              </w:rPr>
            </w:pPr>
            <w:r w:rsidRPr="008F519B">
              <w:rPr>
                <w:rFonts w:ascii="Calibri" w:eastAsia="Times New Roman" w:hAnsi="Calibri" w:cs="Calibri"/>
                <w:color w:val="000000"/>
                <w:sz w:val="18"/>
                <w:szCs w:val="18"/>
                <w:lang w:eastAsia="en-ZA"/>
              </w:rPr>
              <w:t> </w:t>
            </w:r>
          </w:p>
        </w:tc>
      </w:tr>
    </w:tbl>
    <w:p w:rsidR="008F519B" w:rsidRDefault="008F519B" w:rsidP="00AA2470">
      <w:pPr>
        <w:rPr>
          <w:rFonts w:ascii="Arial" w:hAnsi="Arial" w:cs="Arial"/>
          <w:sz w:val="18"/>
          <w:szCs w:val="18"/>
        </w:rPr>
      </w:pPr>
    </w:p>
    <w:p w:rsidR="008F519B" w:rsidRDefault="008F519B" w:rsidP="00AA2470">
      <w:pPr>
        <w:rPr>
          <w:rFonts w:ascii="Arial" w:hAnsi="Arial" w:cs="Arial"/>
          <w:sz w:val="18"/>
          <w:szCs w:val="18"/>
        </w:rPr>
      </w:pPr>
    </w:p>
    <w:p w:rsidR="008F519B" w:rsidRDefault="008F519B">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8F519B" w:rsidRPr="00AA2470" w:rsidRDefault="008F519B" w:rsidP="008F519B">
      <w:pPr>
        <w:rPr>
          <w:rFonts w:ascii="Arial" w:hAnsi="Arial" w:cs="Arial"/>
          <w:b/>
          <w:sz w:val="24"/>
          <w:szCs w:val="24"/>
        </w:rPr>
      </w:pPr>
      <w:r w:rsidRPr="00AA2470">
        <w:rPr>
          <w:rFonts w:ascii="Arial" w:hAnsi="Arial" w:cs="Arial"/>
          <w:b/>
          <w:sz w:val="24"/>
          <w:szCs w:val="24"/>
        </w:rPr>
        <w:t xml:space="preserve">BEPP </w:t>
      </w:r>
      <w:r>
        <w:rPr>
          <w:rFonts w:ascii="Arial" w:hAnsi="Arial" w:cs="Arial"/>
          <w:b/>
          <w:sz w:val="24"/>
          <w:szCs w:val="24"/>
        </w:rPr>
        <w:t>SUPPORT</w:t>
      </w:r>
    </w:p>
    <w:p w:rsidR="008F519B" w:rsidRDefault="008F519B" w:rsidP="00AA2470">
      <w:pPr>
        <w:rPr>
          <w:rFonts w:ascii="Arial" w:hAnsi="Arial" w:cs="Arial"/>
          <w:sz w:val="18"/>
          <w:szCs w:val="18"/>
        </w:rPr>
      </w:pPr>
    </w:p>
    <w:tbl>
      <w:tblPr>
        <w:tblW w:w="14926" w:type="dxa"/>
        <w:tblLook w:val="04A0" w:firstRow="1" w:lastRow="0" w:firstColumn="1" w:lastColumn="0" w:noHBand="0" w:noVBand="1"/>
      </w:tblPr>
      <w:tblGrid>
        <w:gridCol w:w="1580"/>
        <w:gridCol w:w="2673"/>
        <w:gridCol w:w="1500"/>
        <w:gridCol w:w="1420"/>
        <w:gridCol w:w="1440"/>
        <w:gridCol w:w="1340"/>
        <w:gridCol w:w="13"/>
        <w:gridCol w:w="1087"/>
        <w:gridCol w:w="13"/>
        <w:gridCol w:w="1947"/>
        <w:gridCol w:w="13"/>
        <w:gridCol w:w="1887"/>
        <w:gridCol w:w="13"/>
      </w:tblGrid>
      <w:tr w:rsidR="00965EA1" w:rsidRPr="00965EA1" w:rsidTr="00965EA1">
        <w:trPr>
          <w:gridAfter w:val="1"/>
          <w:wAfter w:w="13" w:type="dxa"/>
          <w:trHeight w:val="240"/>
        </w:trPr>
        <w:tc>
          <w:tcPr>
            <w:tcW w:w="1580"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4"/>
                <w:szCs w:val="24"/>
                <w:lang w:eastAsia="en-ZA"/>
              </w:rPr>
            </w:pPr>
          </w:p>
        </w:tc>
        <w:tc>
          <w:tcPr>
            <w:tcW w:w="2673"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420" w:type="dxa"/>
            <w:tcBorders>
              <w:top w:val="single" w:sz="4" w:space="0" w:color="auto"/>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silver</w:t>
            </w:r>
          </w:p>
        </w:tc>
        <w:tc>
          <w:tcPr>
            <w:tcW w:w="1440" w:type="dxa"/>
            <w:tcBorders>
              <w:top w:val="single" w:sz="4" w:space="0" w:color="auto"/>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gold</w:t>
            </w:r>
          </w:p>
        </w:tc>
        <w:tc>
          <w:tcPr>
            <w:tcW w:w="1340" w:type="dxa"/>
            <w:tcBorders>
              <w:top w:val="single" w:sz="4" w:space="0" w:color="auto"/>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platinum</w:t>
            </w:r>
          </w:p>
        </w:tc>
        <w:tc>
          <w:tcPr>
            <w:tcW w:w="11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p>
        </w:tc>
        <w:tc>
          <w:tcPr>
            <w:tcW w:w="196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9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r>
      <w:tr w:rsidR="00965EA1" w:rsidRPr="00965EA1" w:rsidTr="00965EA1">
        <w:trPr>
          <w:gridAfter w:val="1"/>
          <w:wAfter w:w="13" w:type="dxa"/>
          <w:trHeight w:val="240"/>
        </w:trPr>
        <w:tc>
          <w:tcPr>
            <w:tcW w:w="1580"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000000" w:fill="DDD9C4"/>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420" w:type="dxa"/>
            <w:tcBorders>
              <w:top w:val="nil"/>
              <w:left w:val="nil"/>
              <w:bottom w:val="single" w:sz="4" w:space="0" w:color="auto"/>
              <w:right w:val="single" w:sz="4" w:space="0" w:color="auto"/>
            </w:tcBorders>
            <w:shd w:val="clear" w:color="000000" w:fill="DDDDDD"/>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440" w:type="dxa"/>
            <w:tcBorders>
              <w:top w:val="nil"/>
              <w:left w:val="nil"/>
              <w:bottom w:val="single" w:sz="4" w:space="0" w:color="auto"/>
              <w:right w:val="single" w:sz="4" w:space="0" w:color="auto"/>
            </w:tcBorders>
            <w:shd w:val="clear" w:color="000000" w:fill="FFFF00"/>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340" w:type="dxa"/>
            <w:tcBorders>
              <w:top w:val="nil"/>
              <w:left w:val="nil"/>
              <w:bottom w:val="single" w:sz="4" w:space="0" w:color="auto"/>
              <w:right w:val="single" w:sz="4" w:space="0" w:color="auto"/>
            </w:tcBorders>
            <w:shd w:val="clear" w:color="000000" w:fill="808080"/>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1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p>
        </w:tc>
        <w:tc>
          <w:tcPr>
            <w:tcW w:w="196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9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r>
      <w:tr w:rsidR="00965EA1" w:rsidRPr="00965EA1" w:rsidTr="00965EA1">
        <w:trPr>
          <w:gridAfter w:val="1"/>
          <w:wAfter w:w="13" w:type="dxa"/>
          <w:trHeight w:val="495"/>
        </w:trPr>
        <w:tc>
          <w:tcPr>
            <w:tcW w:w="1580"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2673"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500" w:type="dxa"/>
            <w:tcBorders>
              <w:top w:val="nil"/>
              <w:left w:val="single" w:sz="4" w:space="0" w:color="auto"/>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Zero </w:t>
            </w:r>
            <w:proofErr w:type="spellStart"/>
            <w:r w:rsidRPr="00965EA1">
              <w:rPr>
                <w:rFonts w:ascii="Calibri" w:eastAsia="Times New Roman" w:hAnsi="Calibri" w:cs="Calibri"/>
                <w:color w:val="000000"/>
                <w:sz w:val="18"/>
                <w:szCs w:val="18"/>
                <w:lang w:eastAsia="en-ZA"/>
              </w:rPr>
              <w:t>Fulfillment</w:t>
            </w:r>
            <w:proofErr w:type="spellEnd"/>
          </w:p>
        </w:tc>
        <w:tc>
          <w:tcPr>
            <w:tcW w:w="1420" w:type="dxa"/>
            <w:tcBorders>
              <w:top w:val="nil"/>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Partial </w:t>
            </w:r>
            <w:proofErr w:type="spellStart"/>
            <w:r w:rsidRPr="00965EA1">
              <w:rPr>
                <w:rFonts w:ascii="Calibri" w:eastAsia="Times New Roman" w:hAnsi="Calibri" w:cs="Calibri"/>
                <w:color w:val="000000"/>
                <w:sz w:val="18"/>
                <w:szCs w:val="18"/>
                <w:lang w:eastAsia="en-ZA"/>
              </w:rPr>
              <w:t>Fulfillment</w:t>
            </w:r>
            <w:proofErr w:type="spellEnd"/>
          </w:p>
        </w:tc>
        <w:tc>
          <w:tcPr>
            <w:tcW w:w="1440" w:type="dxa"/>
            <w:tcBorders>
              <w:top w:val="nil"/>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Fulfilled</w:t>
            </w:r>
          </w:p>
        </w:tc>
        <w:tc>
          <w:tcPr>
            <w:tcW w:w="1340" w:type="dxa"/>
            <w:tcBorders>
              <w:top w:val="nil"/>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Exemplary</w:t>
            </w:r>
          </w:p>
        </w:tc>
        <w:tc>
          <w:tcPr>
            <w:tcW w:w="11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p>
        </w:tc>
        <w:tc>
          <w:tcPr>
            <w:tcW w:w="196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9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r>
      <w:tr w:rsidR="00965EA1" w:rsidRPr="00965EA1" w:rsidTr="00965EA1">
        <w:trPr>
          <w:gridAfter w:val="1"/>
          <w:wAfter w:w="13" w:type="dxa"/>
          <w:trHeight w:val="255"/>
        </w:trPr>
        <w:tc>
          <w:tcPr>
            <w:tcW w:w="1580" w:type="dxa"/>
            <w:tcBorders>
              <w:top w:val="single" w:sz="8" w:space="0" w:color="auto"/>
              <w:left w:val="single" w:sz="8" w:space="0" w:color="auto"/>
              <w:bottom w:val="single" w:sz="8" w:space="0" w:color="auto"/>
              <w:right w:val="single" w:sz="4" w:space="0" w:color="auto"/>
            </w:tcBorders>
            <w:shd w:val="clear" w:color="000000" w:fill="DAEEF3"/>
            <w:noWrap/>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BEPP Component</w:t>
            </w:r>
          </w:p>
        </w:tc>
        <w:tc>
          <w:tcPr>
            <w:tcW w:w="2673" w:type="dxa"/>
            <w:tcBorders>
              <w:top w:val="single" w:sz="8" w:space="0" w:color="auto"/>
              <w:left w:val="nil"/>
              <w:bottom w:val="single" w:sz="8" w:space="0" w:color="auto"/>
              <w:right w:val="single" w:sz="4" w:space="0" w:color="auto"/>
            </w:tcBorders>
            <w:shd w:val="clear" w:color="000000" w:fill="DAEEF3"/>
            <w:noWrap/>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2018/19 - 2020/21 Standards</w:t>
            </w:r>
          </w:p>
        </w:tc>
        <w:tc>
          <w:tcPr>
            <w:tcW w:w="1500" w:type="dxa"/>
            <w:tcBorders>
              <w:top w:val="single" w:sz="8" w:space="0" w:color="auto"/>
              <w:left w:val="nil"/>
              <w:bottom w:val="single" w:sz="8" w:space="0" w:color="auto"/>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0</w:t>
            </w:r>
          </w:p>
        </w:tc>
        <w:tc>
          <w:tcPr>
            <w:tcW w:w="1420" w:type="dxa"/>
            <w:tcBorders>
              <w:top w:val="single" w:sz="8" w:space="0" w:color="auto"/>
              <w:left w:val="nil"/>
              <w:bottom w:val="single" w:sz="8" w:space="0" w:color="auto"/>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1</w:t>
            </w:r>
          </w:p>
        </w:tc>
        <w:tc>
          <w:tcPr>
            <w:tcW w:w="1440" w:type="dxa"/>
            <w:tcBorders>
              <w:top w:val="single" w:sz="8" w:space="0" w:color="auto"/>
              <w:left w:val="nil"/>
              <w:bottom w:val="single" w:sz="8" w:space="0" w:color="auto"/>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2</w:t>
            </w:r>
          </w:p>
        </w:tc>
        <w:tc>
          <w:tcPr>
            <w:tcW w:w="1340" w:type="dxa"/>
            <w:tcBorders>
              <w:top w:val="single" w:sz="8" w:space="0" w:color="auto"/>
              <w:left w:val="nil"/>
              <w:bottom w:val="single" w:sz="8" w:space="0" w:color="auto"/>
              <w:right w:val="nil"/>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3</w:t>
            </w:r>
          </w:p>
        </w:tc>
        <w:tc>
          <w:tcPr>
            <w:tcW w:w="1100" w:type="dxa"/>
            <w:gridSpan w:val="2"/>
            <w:vMerge w:val="restart"/>
            <w:tcBorders>
              <w:top w:val="nil"/>
              <w:left w:val="single" w:sz="4" w:space="0" w:color="auto"/>
              <w:bottom w:val="nil"/>
              <w:right w:val="single" w:sz="4" w:space="0" w:color="auto"/>
            </w:tcBorders>
            <w:shd w:val="clear" w:color="auto" w:fill="auto"/>
            <w:vAlign w:val="bottom"/>
            <w:hideMark/>
          </w:tcPr>
          <w:p w:rsidR="00965EA1" w:rsidRPr="00965EA1" w:rsidRDefault="00965EA1" w:rsidP="00965EA1">
            <w:pPr>
              <w:spacing w:after="0" w:line="240" w:lineRule="auto"/>
              <w:jc w:val="center"/>
              <w:rPr>
                <w:rFonts w:ascii="Calibri" w:eastAsia="Times New Roman" w:hAnsi="Calibri" w:cs="Calibri"/>
                <w:color w:val="000000"/>
                <w:lang w:eastAsia="en-ZA"/>
              </w:rPr>
            </w:pPr>
            <w:r w:rsidRPr="00965EA1">
              <w:rPr>
                <w:rFonts w:ascii="Calibri" w:eastAsia="Times New Roman" w:hAnsi="Calibri" w:cs="Calibri"/>
                <w:color w:val="000000"/>
                <w:lang w:eastAsia="en-ZA"/>
              </w:rPr>
              <w:t> </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 xml:space="preserve">Qualitative Assessment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Support Requirements</w:t>
            </w:r>
          </w:p>
        </w:tc>
      </w:tr>
      <w:tr w:rsidR="00965EA1" w:rsidRPr="00965EA1" w:rsidTr="00965EA1">
        <w:trPr>
          <w:gridAfter w:val="1"/>
          <w:wAfter w:w="13" w:type="dxa"/>
          <w:trHeight w:val="503"/>
        </w:trPr>
        <w:tc>
          <w:tcPr>
            <w:tcW w:w="1580" w:type="dxa"/>
            <w:tcBorders>
              <w:top w:val="nil"/>
              <w:left w:val="nil"/>
              <w:bottom w:val="nil"/>
              <w:right w:val="nil"/>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p>
        </w:tc>
        <w:tc>
          <w:tcPr>
            <w:tcW w:w="2673" w:type="dxa"/>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500"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Score = 0</w:t>
            </w:r>
          </w:p>
        </w:tc>
        <w:tc>
          <w:tcPr>
            <w:tcW w:w="1420"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Score = 1</w:t>
            </w:r>
          </w:p>
        </w:tc>
        <w:tc>
          <w:tcPr>
            <w:tcW w:w="1440"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Score = 2</w:t>
            </w:r>
          </w:p>
        </w:tc>
        <w:tc>
          <w:tcPr>
            <w:tcW w:w="1340"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Score = 3</w:t>
            </w:r>
          </w:p>
        </w:tc>
        <w:tc>
          <w:tcPr>
            <w:tcW w:w="1100" w:type="dxa"/>
            <w:gridSpan w:val="2"/>
            <w:vMerge/>
            <w:tcBorders>
              <w:top w:val="nil"/>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color w:val="000000"/>
                <w:lang w:eastAsia="en-ZA"/>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r>
      <w:tr w:rsidR="00965EA1" w:rsidRPr="00965EA1" w:rsidTr="00965EA1">
        <w:trPr>
          <w:gridAfter w:val="1"/>
          <w:wAfter w:w="13" w:type="dxa"/>
          <w:trHeight w:val="503"/>
        </w:trPr>
        <w:tc>
          <w:tcPr>
            <w:tcW w:w="1580"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CSIP support in relation to support needs identified in the BEPP</w:t>
            </w:r>
          </w:p>
        </w:tc>
        <w:tc>
          <w:tcPr>
            <w:tcW w:w="2673" w:type="dxa"/>
            <w:tcBorders>
              <w:top w:val="single" w:sz="4" w:space="0" w:color="auto"/>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Comprehensive CSIP in place for the metro.</w:t>
            </w:r>
          </w:p>
        </w:tc>
        <w:tc>
          <w:tcPr>
            <w:tcW w:w="1500" w:type="dxa"/>
            <w:tcBorders>
              <w:top w:val="single" w:sz="4" w:space="0" w:color="auto"/>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No evidence of </w:t>
            </w:r>
            <w:proofErr w:type="spellStart"/>
            <w:r w:rsidRPr="00965EA1">
              <w:rPr>
                <w:rFonts w:ascii="Calibri" w:eastAsia="Times New Roman" w:hAnsi="Calibri" w:cs="Calibri"/>
                <w:color w:val="000000"/>
                <w:sz w:val="18"/>
                <w:szCs w:val="18"/>
                <w:lang w:eastAsia="en-ZA"/>
              </w:rPr>
              <w:t>fulfillment</w:t>
            </w:r>
            <w:proofErr w:type="spellEnd"/>
            <w:r w:rsidRPr="00965EA1">
              <w:rPr>
                <w:rFonts w:ascii="Calibri" w:eastAsia="Times New Roman" w:hAnsi="Calibri" w:cs="Calibri"/>
                <w:color w:val="000000"/>
                <w:sz w:val="18"/>
                <w:szCs w:val="18"/>
                <w:lang w:eastAsia="en-ZA"/>
              </w:rPr>
              <w:t xml:space="preserve"> of standard</w:t>
            </w:r>
          </w:p>
        </w:tc>
        <w:tc>
          <w:tcPr>
            <w:tcW w:w="1420" w:type="dxa"/>
            <w:tcBorders>
              <w:top w:val="single" w:sz="4" w:space="0" w:color="auto"/>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Tangible evidence of partial </w:t>
            </w:r>
            <w:proofErr w:type="spellStart"/>
            <w:r w:rsidRPr="00965EA1">
              <w:rPr>
                <w:rFonts w:ascii="Calibri" w:eastAsia="Times New Roman" w:hAnsi="Calibri" w:cs="Calibri"/>
                <w:color w:val="000000"/>
                <w:sz w:val="18"/>
                <w:szCs w:val="18"/>
                <w:lang w:eastAsia="en-ZA"/>
              </w:rPr>
              <w:t>fulfillment</w:t>
            </w:r>
            <w:proofErr w:type="spellEnd"/>
            <w:r w:rsidRPr="00965EA1">
              <w:rPr>
                <w:rFonts w:ascii="Calibri" w:eastAsia="Times New Roman" w:hAnsi="Calibri" w:cs="Calibri"/>
                <w:color w:val="000000"/>
                <w:sz w:val="18"/>
                <w:szCs w:val="18"/>
                <w:lang w:eastAsia="en-ZA"/>
              </w:rPr>
              <w:t xml:space="preserve"> of standard</w:t>
            </w:r>
          </w:p>
        </w:tc>
        <w:tc>
          <w:tcPr>
            <w:tcW w:w="1440" w:type="dxa"/>
            <w:tcBorders>
              <w:top w:val="single" w:sz="4" w:space="0" w:color="auto"/>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Tangible and complete evidence of </w:t>
            </w:r>
            <w:proofErr w:type="spellStart"/>
            <w:r w:rsidRPr="00965EA1">
              <w:rPr>
                <w:rFonts w:ascii="Calibri" w:eastAsia="Times New Roman" w:hAnsi="Calibri" w:cs="Calibri"/>
                <w:color w:val="000000"/>
                <w:sz w:val="18"/>
                <w:szCs w:val="18"/>
                <w:lang w:eastAsia="en-ZA"/>
              </w:rPr>
              <w:t>fulfillment</w:t>
            </w:r>
            <w:proofErr w:type="spellEnd"/>
            <w:r w:rsidRPr="00965EA1">
              <w:rPr>
                <w:rFonts w:ascii="Calibri" w:eastAsia="Times New Roman" w:hAnsi="Calibri" w:cs="Calibri"/>
                <w:color w:val="000000"/>
                <w:sz w:val="18"/>
                <w:szCs w:val="18"/>
                <w:lang w:eastAsia="en-ZA"/>
              </w:rPr>
              <w:t xml:space="preserve"> of standard</w:t>
            </w:r>
          </w:p>
        </w:tc>
        <w:tc>
          <w:tcPr>
            <w:tcW w:w="1340" w:type="dxa"/>
            <w:tcBorders>
              <w:top w:val="single" w:sz="4" w:space="0" w:color="auto"/>
              <w:left w:val="nil"/>
              <w:bottom w:val="single" w:sz="4" w:space="0" w:color="auto"/>
              <w:right w:val="nil"/>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L2 plus exceeds standard</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DAEEF3"/>
            <w:vAlign w:val="bottom"/>
            <w:hideMark/>
          </w:tcPr>
          <w:p w:rsidR="00965EA1" w:rsidRPr="00940498" w:rsidRDefault="00965EA1" w:rsidP="00965EA1">
            <w:pPr>
              <w:spacing w:after="0" w:line="240" w:lineRule="auto"/>
              <w:jc w:val="center"/>
              <w:rPr>
                <w:rFonts w:ascii="Calibri" w:eastAsia="Times New Roman" w:hAnsi="Calibri" w:cs="Calibri"/>
                <w:lang w:eastAsia="en-ZA"/>
              </w:rPr>
            </w:pPr>
            <w:r w:rsidRPr="00940498">
              <w:rPr>
                <w:rFonts w:ascii="Calibri" w:eastAsia="Times New Roman" w:hAnsi="Calibri" w:cs="Calibri"/>
                <w:lang w:eastAsia="en-ZA"/>
              </w:rPr>
              <w:t> </w:t>
            </w:r>
          </w:p>
        </w:tc>
        <w:tc>
          <w:tcPr>
            <w:tcW w:w="1960" w:type="dxa"/>
            <w:gridSpan w:val="2"/>
            <w:vMerge w:val="restart"/>
            <w:tcBorders>
              <w:top w:val="nil"/>
              <w:left w:val="single" w:sz="4" w:space="0" w:color="auto"/>
              <w:bottom w:val="single" w:sz="4" w:space="0" w:color="000000"/>
              <w:right w:val="single" w:sz="4" w:space="0" w:color="auto"/>
            </w:tcBorders>
            <w:shd w:val="clear" w:color="auto" w:fill="auto"/>
            <w:hideMark/>
          </w:tcPr>
          <w:p w:rsidR="00940498" w:rsidRPr="008F0EF3" w:rsidRDefault="00507F61" w:rsidP="00965EA1">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Gold </w:t>
            </w:r>
            <w:r w:rsidR="00AE447B" w:rsidRPr="008F0EF3">
              <w:rPr>
                <w:rFonts w:ascii="Arial" w:eastAsia="Times New Roman" w:hAnsi="Arial" w:cs="Arial"/>
                <w:sz w:val="18"/>
                <w:szCs w:val="18"/>
                <w:lang w:eastAsia="en-ZA"/>
              </w:rPr>
              <w:t xml:space="preserve">– 5.4.2 </w:t>
            </w:r>
          </w:p>
          <w:p w:rsidR="00965EA1" w:rsidRPr="008F0EF3" w:rsidRDefault="00AE447B" w:rsidP="00965EA1">
            <w:pPr>
              <w:spacing w:after="0" w:line="240" w:lineRule="auto"/>
              <w:rPr>
                <w:rFonts w:ascii="Arial" w:eastAsia="Times New Roman" w:hAnsi="Arial" w:cs="Arial"/>
                <w:sz w:val="18"/>
                <w:szCs w:val="18"/>
                <w:lang w:eastAsia="en-ZA"/>
              </w:rPr>
            </w:pPr>
            <w:r w:rsidRPr="008F0EF3">
              <w:rPr>
                <w:rFonts w:ascii="Arial" w:eastAsia="Times New Roman" w:hAnsi="Arial" w:cs="Arial"/>
                <w:sz w:val="18"/>
                <w:szCs w:val="18"/>
                <w:lang w:eastAsia="en-ZA"/>
              </w:rPr>
              <w:t xml:space="preserve">Table </w:t>
            </w:r>
            <w:r w:rsidR="00940498" w:rsidRPr="008F0EF3">
              <w:rPr>
                <w:rFonts w:ascii="Arial" w:eastAsia="Times New Roman" w:hAnsi="Arial" w:cs="Arial"/>
                <w:sz w:val="18"/>
                <w:szCs w:val="18"/>
                <w:lang w:eastAsia="en-ZA"/>
              </w:rPr>
              <w:t>14</w:t>
            </w:r>
          </w:p>
          <w:p w:rsidR="00AE447B" w:rsidRPr="008F0EF3" w:rsidRDefault="00AE447B" w:rsidP="00965EA1">
            <w:pPr>
              <w:spacing w:after="0" w:line="240" w:lineRule="auto"/>
              <w:rPr>
                <w:rFonts w:ascii="Arial" w:eastAsia="Times New Roman" w:hAnsi="Arial" w:cs="Arial"/>
                <w:sz w:val="18"/>
                <w:szCs w:val="18"/>
                <w:lang w:eastAsia="en-ZA"/>
              </w:rPr>
            </w:pPr>
          </w:p>
          <w:p w:rsidR="00AE447B" w:rsidRPr="008F0EF3" w:rsidRDefault="00AE447B" w:rsidP="00965EA1">
            <w:pPr>
              <w:spacing w:after="0" w:line="240" w:lineRule="auto"/>
              <w:rPr>
                <w:rFonts w:ascii="Arial" w:eastAsia="Times New Roman" w:hAnsi="Arial" w:cs="Arial"/>
                <w:sz w:val="18"/>
                <w:szCs w:val="18"/>
                <w:lang w:eastAsia="en-ZA"/>
              </w:rPr>
            </w:pPr>
            <w:bookmarkStart w:id="0" w:name="_GoBack"/>
            <w:bookmarkEnd w:id="0"/>
          </w:p>
          <w:p w:rsidR="00AE447B" w:rsidRPr="008F0EF3" w:rsidRDefault="00AE447B" w:rsidP="00965EA1">
            <w:pPr>
              <w:spacing w:after="0" w:line="240" w:lineRule="auto"/>
              <w:rPr>
                <w:rFonts w:ascii="Arial" w:eastAsia="Times New Roman" w:hAnsi="Arial" w:cs="Arial"/>
                <w:sz w:val="18"/>
                <w:szCs w:val="18"/>
                <w:lang w:eastAsia="en-ZA"/>
              </w:rPr>
            </w:pPr>
          </w:p>
          <w:p w:rsidR="00AE447B" w:rsidRPr="008F0EF3" w:rsidRDefault="00AE447B" w:rsidP="00965EA1">
            <w:pPr>
              <w:spacing w:after="0" w:line="240" w:lineRule="auto"/>
              <w:rPr>
                <w:rFonts w:ascii="Arial" w:eastAsia="Times New Roman" w:hAnsi="Arial" w:cs="Arial"/>
                <w:sz w:val="18"/>
                <w:szCs w:val="18"/>
                <w:lang w:eastAsia="en-ZA"/>
              </w:rPr>
            </w:pPr>
          </w:p>
          <w:p w:rsidR="00AE447B" w:rsidRPr="00940498" w:rsidRDefault="00AE447B" w:rsidP="00965EA1">
            <w:pPr>
              <w:spacing w:after="0" w:line="240" w:lineRule="auto"/>
              <w:rPr>
                <w:rFonts w:ascii="Calibri" w:eastAsia="Times New Roman" w:hAnsi="Calibri" w:cs="Calibri"/>
                <w:sz w:val="18"/>
                <w:szCs w:val="18"/>
                <w:lang w:eastAsia="en-ZA"/>
              </w:rPr>
            </w:pPr>
            <w:r w:rsidRPr="008F0EF3">
              <w:rPr>
                <w:rFonts w:ascii="Arial" w:eastAsia="Times New Roman" w:hAnsi="Arial" w:cs="Arial"/>
                <w:sz w:val="18"/>
                <w:szCs w:val="18"/>
                <w:lang w:eastAsia="en-ZA"/>
              </w:rPr>
              <w:t>Gold 5.4.2- Narrative and Table</w:t>
            </w:r>
            <w:r w:rsidR="00940498" w:rsidRPr="008F0EF3">
              <w:rPr>
                <w:rFonts w:ascii="Arial" w:eastAsia="Times New Roman" w:hAnsi="Arial" w:cs="Arial"/>
                <w:sz w:val="18"/>
                <w:szCs w:val="18"/>
                <w:lang w:eastAsia="en-ZA"/>
              </w:rPr>
              <w:t xml:space="preserve"> 14</w:t>
            </w:r>
          </w:p>
        </w:tc>
        <w:tc>
          <w:tcPr>
            <w:tcW w:w="1900" w:type="dxa"/>
            <w:gridSpan w:val="2"/>
            <w:vMerge w:val="restart"/>
            <w:tcBorders>
              <w:top w:val="nil"/>
              <w:left w:val="single" w:sz="4" w:space="0" w:color="auto"/>
              <w:bottom w:val="single" w:sz="4" w:space="0" w:color="auto"/>
              <w:right w:val="single" w:sz="4" w:space="0" w:color="auto"/>
            </w:tcBorders>
            <w:shd w:val="clear" w:color="auto" w:fill="auto"/>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r>
      <w:tr w:rsidR="00965EA1" w:rsidRPr="00965EA1" w:rsidTr="00965EA1">
        <w:trPr>
          <w:gridAfter w:val="1"/>
          <w:wAfter w:w="13" w:type="dxa"/>
          <w:trHeight w:val="1032"/>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p>
        </w:tc>
        <w:tc>
          <w:tcPr>
            <w:tcW w:w="2673" w:type="dxa"/>
            <w:tcBorders>
              <w:top w:val="nil"/>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A close match between gaps in the BEPP and Support Projects that have been requested by the Metro, or CSIP projects that are offered to the Metro.</w:t>
            </w:r>
          </w:p>
        </w:tc>
        <w:tc>
          <w:tcPr>
            <w:tcW w:w="1500" w:type="dxa"/>
            <w:tcBorders>
              <w:top w:val="nil"/>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No evidence of </w:t>
            </w:r>
            <w:proofErr w:type="spellStart"/>
            <w:r w:rsidRPr="00965EA1">
              <w:rPr>
                <w:rFonts w:ascii="Calibri" w:eastAsia="Times New Roman" w:hAnsi="Calibri" w:cs="Calibri"/>
                <w:color w:val="000000"/>
                <w:sz w:val="18"/>
                <w:szCs w:val="18"/>
                <w:lang w:eastAsia="en-ZA"/>
              </w:rPr>
              <w:t>fulfillment</w:t>
            </w:r>
            <w:proofErr w:type="spellEnd"/>
            <w:r w:rsidRPr="00965EA1">
              <w:rPr>
                <w:rFonts w:ascii="Calibri" w:eastAsia="Times New Roman" w:hAnsi="Calibri" w:cs="Calibri"/>
                <w:color w:val="000000"/>
                <w:sz w:val="18"/>
                <w:szCs w:val="18"/>
                <w:lang w:eastAsia="en-ZA"/>
              </w:rPr>
              <w:t xml:space="preserve"> of standard</w:t>
            </w:r>
          </w:p>
        </w:tc>
        <w:tc>
          <w:tcPr>
            <w:tcW w:w="1420" w:type="dxa"/>
            <w:tcBorders>
              <w:top w:val="nil"/>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Tangible evidence of partial </w:t>
            </w:r>
            <w:proofErr w:type="spellStart"/>
            <w:r w:rsidRPr="00965EA1">
              <w:rPr>
                <w:rFonts w:ascii="Calibri" w:eastAsia="Times New Roman" w:hAnsi="Calibri" w:cs="Calibri"/>
                <w:color w:val="000000"/>
                <w:sz w:val="18"/>
                <w:szCs w:val="18"/>
                <w:lang w:eastAsia="en-ZA"/>
              </w:rPr>
              <w:t>fulfillment</w:t>
            </w:r>
            <w:proofErr w:type="spellEnd"/>
            <w:r w:rsidRPr="00965EA1">
              <w:rPr>
                <w:rFonts w:ascii="Calibri" w:eastAsia="Times New Roman" w:hAnsi="Calibri" w:cs="Calibri"/>
                <w:color w:val="000000"/>
                <w:sz w:val="18"/>
                <w:szCs w:val="18"/>
                <w:lang w:eastAsia="en-ZA"/>
              </w:rPr>
              <w:t xml:space="preserve"> of standard</w:t>
            </w:r>
          </w:p>
        </w:tc>
        <w:tc>
          <w:tcPr>
            <w:tcW w:w="1440" w:type="dxa"/>
            <w:tcBorders>
              <w:top w:val="nil"/>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Tangible and complete evidence of </w:t>
            </w:r>
            <w:proofErr w:type="spellStart"/>
            <w:r w:rsidRPr="00965EA1">
              <w:rPr>
                <w:rFonts w:ascii="Calibri" w:eastAsia="Times New Roman" w:hAnsi="Calibri" w:cs="Calibri"/>
                <w:color w:val="000000"/>
                <w:sz w:val="18"/>
                <w:szCs w:val="18"/>
                <w:lang w:eastAsia="en-ZA"/>
              </w:rPr>
              <w:t>fulfillment</w:t>
            </w:r>
            <w:proofErr w:type="spellEnd"/>
            <w:r w:rsidRPr="00965EA1">
              <w:rPr>
                <w:rFonts w:ascii="Calibri" w:eastAsia="Times New Roman" w:hAnsi="Calibri" w:cs="Calibri"/>
                <w:color w:val="000000"/>
                <w:sz w:val="18"/>
                <w:szCs w:val="18"/>
                <w:lang w:eastAsia="en-ZA"/>
              </w:rPr>
              <w:t xml:space="preserve"> of standard</w:t>
            </w:r>
          </w:p>
        </w:tc>
        <w:tc>
          <w:tcPr>
            <w:tcW w:w="1340" w:type="dxa"/>
            <w:tcBorders>
              <w:top w:val="nil"/>
              <w:left w:val="nil"/>
              <w:bottom w:val="single" w:sz="4" w:space="0" w:color="auto"/>
              <w:right w:val="nil"/>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L2 plus exceeds standard</w:t>
            </w:r>
          </w:p>
        </w:tc>
        <w:tc>
          <w:tcPr>
            <w:tcW w:w="1100" w:type="dxa"/>
            <w:gridSpan w:val="2"/>
            <w:tcBorders>
              <w:top w:val="nil"/>
              <w:left w:val="single" w:sz="4" w:space="0" w:color="auto"/>
              <w:bottom w:val="single" w:sz="4" w:space="0" w:color="auto"/>
              <w:right w:val="nil"/>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960" w:type="dxa"/>
            <w:gridSpan w:val="2"/>
            <w:vMerge/>
            <w:tcBorders>
              <w:top w:val="nil"/>
              <w:left w:val="single" w:sz="4" w:space="0" w:color="auto"/>
              <w:bottom w:val="single" w:sz="4" w:space="0" w:color="000000"/>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color w:val="FF0000"/>
                <w:sz w:val="28"/>
                <w:szCs w:val="28"/>
                <w:lang w:eastAsia="en-ZA"/>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p>
        </w:tc>
      </w:tr>
      <w:tr w:rsidR="00965EA1" w:rsidRPr="00965EA1" w:rsidTr="00965EA1">
        <w:trPr>
          <w:trHeight w:val="30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p>
        </w:tc>
        <w:tc>
          <w:tcPr>
            <w:tcW w:w="8386" w:type="dxa"/>
            <w:gridSpan w:val="6"/>
            <w:tcBorders>
              <w:top w:val="single" w:sz="4" w:space="0" w:color="auto"/>
              <w:left w:val="nil"/>
              <w:bottom w:val="single" w:sz="4" w:space="0" w:color="auto"/>
              <w:right w:val="single" w:sz="4" w:space="0" w:color="000000"/>
            </w:tcBorders>
            <w:shd w:val="clear" w:color="000000" w:fill="DAEEF3"/>
            <w:noWrap/>
            <w:hideMark/>
          </w:tcPr>
          <w:p w:rsidR="00965EA1" w:rsidRPr="00965EA1" w:rsidRDefault="00965EA1" w:rsidP="00965EA1">
            <w:pPr>
              <w:spacing w:after="0" w:line="240" w:lineRule="auto"/>
              <w:jc w:val="right"/>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BEPP Support Total</w:t>
            </w:r>
          </w:p>
        </w:tc>
        <w:tc>
          <w:tcPr>
            <w:tcW w:w="1100" w:type="dxa"/>
            <w:gridSpan w:val="2"/>
            <w:tcBorders>
              <w:top w:val="nil"/>
              <w:left w:val="nil"/>
              <w:bottom w:val="single" w:sz="4" w:space="0" w:color="auto"/>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96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p>
        </w:tc>
        <w:tc>
          <w:tcPr>
            <w:tcW w:w="1900" w:type="dxa"/>
            <w:gridSpan w:val="2"/>
            <w:tcBorders>
              <w:top w:val="nil"/>
              <w:left w:val="nil"/>
              <w:bottom w:val="nil"/>
              <w:right w:val="nil"/>
            </w:tcBorders>
            <w:shd w:val="clear" w:color="auto" w:fill="auto"/>
            <w:noWrap/>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r>
    </w:tbl>
    <w:p w:rsidR="008F519B" w:rsidRDefault="008F519B" w:rsidP="00AA2470">
      <w:pPr>
        <w:rPr>
          <w:rFonts w:ascii="Arial" w:hAnsi="Arial" w:cs="Arial"/>
          <w:sz w:val="18"/>
          <w:szCs w:val="18"/>
        </w:rPr>
      </w:pPr>
    </w:p>
    <w:p w:rsidR="00965EA1" w:rsidRDefault="00965EA1">
      <w:pPr>
        <w:rPr>
          <w:rFonts w:ascii="Arial" w:hAnsi="Arial" w:cs="Arial"/>
          <w:sz w:val="18"/>
          <w:szCs w:val="18"/>
        </w:rPr>
      </w:pPr>
      <w:r>
        <w:rPr>
          <w:rFonts w:ascii="Arial" w:hAnsi="Arial" w:cs="Arial"/>
          <w:sz w:val="18"/>
          <w:szCs w:val="18"/>
        </w:rPr>
        <w:br w:type="page"/>
      </w:r>
    </w:p>
    <w:p w:rsidR="008F519B" w:rsidRDefault="008F519B" w:rsidP="00AA2470">
      <w:pPr>
        <w:rPr>
          <w:rFonts w:ascii="Arial" w:hAnsi="Arial" w:cs="Arial"/>
          <w:sz w:val="18"/>
          <w:szCs w:val="18"/>
        </w:rPr>
      </w:pPr>
    </w:p>
    <w:p w:rsidR="00965EA1" w:rsidRPr="00AA2470" w:rsidRDefault="00965EA1" w:rsidP="00965EA1">
      <w:pPr>
        <w:rPr>
          <w:rFonts w:ascii="Arial" w:hAnsi="Arial" w:cs="Arial"/>
          <w:b/>
          <w:sz w:val="24"/>
          <w:szCs w:val="24"/>
        </w:rPr>
      </w:pPr>
      <w:r>
        <w:rPr>
          <w:rFonts w:ascii="Arial" w:hAnsi="Arial" w:cs="Arial"/>
          <w:b/>
          <w:sz w:val="24"/>
          <w:szCs w:val="24"/>
        </w:rPr>
        <w:t>FINAL BEPP PROGRESSION SCORE</w:t>
      </w:r>
    </w:p>
    <w:p w:rsidR="00965EA1" w:rsidRDefault="00965EA1" w:rsidP="00AA2470">
      <w:pPr>
        <w:rPr>
          <w:rFonts w:ascii="Arial" w:hAnsi="Arial" w:cs="Arial"/>
          <w:sz w:val="18"/>
          <w:szCs w:val="18"/>
        </w:rPr>
      </w:pPr>
    </w:p>
    <w:tbl>
      <w:tblPr>
        <w:tblW w:w="15124" w:type="dxa"/>
        <w:tblLook w:val="04A0" w:firstRow="1" w:lastRow="0" w:firstColumn="1" w:lastColumn="0" w:noHBand="0" w:noVBand="1"/>
      </w:tblPr>
      <w:tblGrid>
        <w:gridCol w:w="1843"/>
        <w:gridCol w:w="1095"/>
        <w:gridCol w:w="1308"/>
        <w:gridCol w:w="1308"/>
        <w:gridCol w:w="1308"/>
        <w:gridCol w:w="1308"/>
        <w:gridCol w:w="1308"/>
        <w:gridCol w:w="1488"/>
        <w:gridCol w:w="1174"/>
        <w:gridCol w:w="1002"/>
        <w:gridCol w:w="1000"/>
        <w:gridCol w:w="982"/>
      </w:tblGrid>
      <w:tr w:rsidR="00965EA1" w:rsidRPr="00965EA1" w:rsidTr="00965EA1">
        <w:trPr>
          <w:trHeight w:val="300"/>
          <w:tblHeader/>
        </w:trPr>
        <w:tc>
          <w:tcPr>
            <w:tcW w:w="1843" w:type="dxa"/>
            <w:tcBorders>
              <w:top w:val="nil"/>
              <w:left w:val="nil"/>
              <w:bottom w:val="nil"/>
              <w:right w:val="nil"/>
            </w:tcBorders>
            <w:shd w:val="clear" w:color="auto" w:fill="auto"/>
            <w:vAlign w:val="bottom"/>
            <w:hideMark/>
          </w:tcPr>
          <w:p w:rsidR="00965EA1" w:rsidRPr="00965EA1" w:rsidRDefault="00965EA1" w:rsidP="00965EA1">
            <w:pPr>
              <w:spacing w:after="0" w:line="240" w:lineRule="auto"/>
              <w:rPr>
                <w:rFonts w:ascii="Times New Roman" w:eastAsia="Times New Roman" w:hAnsi="Times New Roman" w:cs="Times New Roman"/>
                <w:sz w:val="24"/>
                <w:szCs w:val="24"/>
                <w:lang w:eastAsia="en-ZA"/>
              </w:rPr>
            </w:pPr>
          </w:p>
        </w:tc>
        <w:tc>
          <w:tcPr>
            <w:tcW w:w="1095"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48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4158" w:type="dxa"/>
            <w:gridSpan w:val="4"/>
            <w:tcBorders>
              <w:top w:val="single" w:sz="4" w:space="0" w:color="auto"/>
              <w:left w:val="single" w:sz="4" w:space="0" w:color="auto"/>
              <w:bottom w:val="single" w:sz="4" w:space="0" w:color="auto"/>
              <w:right w:val="single" w:sz="4" w:space="0" w:color="000000"/>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Component Scoring System</w:t>
            </w:r>
          </w:p>
        </w:tc>
      </w:tr>
      <w:tr w:rsidR="00965EA1" w:rsidRPr="00965EA1" w:rsidTr="00965EA1">
        <w:trPr>
          <w:trHeight w:val="300"/>
          <w:tblHeader/>
        </w:trPr>
        <w:tc>
          <w:tcPr>
            <w:tcW w:w="1843" w:type="dxa"/>
            <w:tcBorders>
              <w:top w:val="nil"/>
              <w:left w:val="nil"/>
              <w:bottom w:val="nil"/>
              <w:right w:val="nil"/>
            </w:tcBorders>
            <w:shd w:val="clear" w:color="auto" w:fill="auto"/>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p>
        </w:tc>
        <w:tc>
          <w:tcPr>
            <w:tcW w:w="1095"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48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174" w:type="dxa"/>
            <w:tcBorders>
              <w:top w:val="nil"/>
              <w:left w:val="single" w:sz="4" w:space="0" w:color="auto"/>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002" w:type="dxa"/>
            <w:tcBorders>
              <w:top w:val="nil"/>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silver</w:t>
            </w:r>
          </w:p>
        </w:tc>
        <w:tc>
          <w:tcPr>
            <w:tcW w:w="1000" w:type="dxa"/>
            <w:tcBorders>
              <w:top w:val="nil"/>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gold</w:t>
            </w:r>
          </w:p>
        </w:tc>
        <w:tc>
          <w:tcPr>
            <w:tcW w:w="982" w:type="dxa"/>
            <w:tcBorders>
              <w:top w:val="nil"/>
              <w:left w:val="nil"/>
              <w:bottom w:val="single" w:sz="4" w:space="0" w:color="auto"/>
              <w:right w:val="single" w:sz="4" w:space="0" w:color="auto"/>
            </w:tcBorders>
            <w:shd w:val="clear" w:color="auto" w:fill="auto"/>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platinum</w:t>
            </w:r>
          </w:p>
        </w:tc>
      </w:tr>
      <w:tr w:rsidR="00965EA1" w:rsidRPr="00965EA1" w:rsidTr="00965EA1">
        <w:trPr>
          <w:trHeight w:val="300"/>
          <w:tblHeader/>
        </w:trPr>
        <w:tc>
          <w:tcPr>
            <w:tcW w:w="1843" w:type="dxa"/>
            <w:tcBorders>
              <w:top w:val="nil"/>
              <w:left w:val="nil"/>
              <w:bottom w:val="nil"/>
              <w:right w:val="nil"/>
            </w:tcBorders>
            <w:shd w:val="clear" w:color="auto" w:fill="auto"/>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p>
        </w:tc>
        <w:tc>
          <w:tcPr>
            <w:tcW w:w="1095"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488" w:type="dxa"/>
            <w:tcBorders>
              <w:top w:val="nil"/>
              <w:left w:val="nil"/>
              <w:bottom w:val="nil"/>
              <w:right w:val="nil"/>
            </w:tcBorders>
            <w:shd w:val="clear" w:color="auto" w:fill="auto"/>
            <w:noWrap/>
            <w:vAlign w:val="bottom"/>
            <w:hideMark/>
          </w:tcPr>
          <w:p w:rsidR="00965EA1" w:rsidRPr="00965EA1" w:rsidRDefault="00965EA1" w:rsidP="00965EA1">
            <w:pPr>
              <w:spacing w:after="0" w:line="240" w:lineRule="auto"/>
              <w:rPr>
                <w:rFonts w:ascii="Times New Roman" w:eastAsia="Times New Roman" w:hAnsi="Times New Roman" w:cs="Times New Roman"/>
                <w:sz w:val="20"/>
                <w:szCs w:val="20"/>
                <w:lang w:eastAsia="en-ZA"/>
              </w:rPr>
            </w:pPr>
          </w:p>
        </w:tc>
        <w:tc>
          <w:tcPr>
            <w:tcW w:w="1174" w:type="dxa"/>
            <w:tcBorders>
              <w:top w:val="nil"/>
              <w:left w:val="single" w:sz="4" w:space="0" w:color="auto"/>
              <w:bottom w:val="single" w:sz="4" w:space="0" w:color="auto"/>
              <w:right w:val="single" w:sz="4" w:space="0" w:color="auto"/>
            </w:tcBorders>
            <w:shd w:val="clear" w:color="000000" w:fill="DDD9C4"/>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002" w:type="dxa"/>
            <w:tcBorders>
              <w:top w:val="nil"/>
              <w:left w:val="nil"/>
              <w:bottom w:val="single" w:sz="4" w:space="0" w:color="auto"/>
              <w:right w:val="single" w:sz="4" w:space="0" w:color="auto"/>
            </w:tcBorders>
            <w:shd w:val="clear" w:color="000000" w:fill="DDDDDD"/>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000" w:type="dxa"/>
            <w:tcBorders>
              <w:top w:val="nil"/>
              <w:left w:val="nil"/>
              <w:bottom w:val="single" w:sz="4" w:space="0" w:color="auto"/>
              <w:right w:val="single" w:sz="4" w:space="0" w:color="auto"/>
            </w:tcBorders>
            <w:shd w:val="clear" w:color="000000" w:fill="FFFF00"/>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982" w:type="dxa"/>
            <w:tcBorders>
              <w:top w:val="nil"/>
              <w:left w:val="nil"/>
              <w:bottom w:val="single" w:sz="4" w:space="0" w:color="auto"/>
              <w:right w:val="single" w:sz="4" w:space="0" w:color="auto"/>
            </w:tcBorders>
            <w:shd w:val="clear" w:color="000000" w:fill="808080"/>
            <w:noWrap/>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r>
      <w:tr w:rsidR="00965EA1" w:rsidRPr="00965EA1" w:rsidTr="00965EA1">
        <w:trPr>
          <w:trHeight w:val="492"/>
          <w:tblHeader/>
        </w:trPr>
        <w:tc>
          <w:tcPr>
            <w:tcW w:w="1843" w:type="dxa"/>
            <w:vMerge w:val="restart"/>
            <w:tcBorders>
              <w:top w:val="single" w:sz="4" w:space="0" w:color="auto"/>
              <w:left w:val="single" w:sz="4" w:space="0" w:color="auto"/>
              <w:bottom w:val="nil"/>
              <w:right w:val="single" w:sz="4" w:space="0" w:color="auto"/>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BEPP Component</w:t>
            </w:r>
          </w:p>
        </w:tc>
        <w:tc>
          <w:tcPr>
            <w:tcW w:w="1095" w:type="dxa"/>
            <w:vMerge w:val="restart"/>
            <w:tcBorders>
              <w:top w:val="single" w:sz="4" w:space="0" w:color="auto"/>
              <w:left w:val="single" w:sz="4" w:space="0" w:color="auto"/>
              <w:bottom w:val="nil"/>
              <w:right w:val="single" w:sz="4" w:space="0" w:color="auto"/>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Component Score</w:t>
            </w:r>
          </w:p>
        </w:tc>
        <w:tc>
          <w:tcPr>
            <w:tcW w:w="1308" w:type="dxa"/>
            <w:vMerge w:val="restart"/>
            <w:tcBorders>
              <w:top w:val="single" w:sz="4" w:space="0" w:color="auto"/>
              <w:left w:val="single" w:sz="4" w:space="0" w:color="auto"/>
              <w:bottom w:val="nil"/>
              <w:right w:val="single" w:sz="4" w:space="0" w:color="auto"/>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No. of Component Elements</w:t>
            </w:r>
          </w:p>
        </w:tc>
        <w:tc>
          <w:tcPr>
            <w:tcW w:w="1308" w:type="dxa"/>
            <w:vMerge w:val="restart"/>
            <w:tcBorders>
              <w:top w:val="single" w:sz="4" w:space="0" w:color="auto"/>
              <w:left w:val="single" w:sz="4" w:space="0" w:color="auto"/>
              <w:bottom w:val="single" w:sz="4" w:space="0" w:color="000000"/>
              <w:right w:val="single" w:sz="4" w:space="0" w:color="auto"/>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Maximum Component Score Possible</w:t>
            </w:r>
          </w:p>
        </w:tc>
        <w:tc>
          <w:tcPr>
            <w:tcW w:w="1308" w:type="dxa"/>
            <w:vMerge w:val="restart"/>
            <w:tcBorders>
              <w:top w:val="single" w:sz="4" w:space="0" w:color="auto"/>
              <w:left w:val="single" w:sz="4" w:space="0" w:color="auto"/>
              <w:bottom w:val="single" w:sz="4" w:space="0" w:color="000000"/>
              <w:right w:val="single" w:sz="4" w:space="0" w:color="auto"/>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Unweighted %</w:t>
            </w:r>
          </w:p>
        </w:tc>
        <w:tc>
          <w:tcPr>
            <w:tcW w:w="1308" w:type="dxa"/>
            <w:vMerge w:val="restart"/>
            <w:tcBorders>
              <w:top w:val="single" w:sz="4" w:space="0" w:color="auto"/>
              <w:left w:val="single" w:sz="4" w:space="0" w:color="auto"/>
              <w:bottom w:val="nil"/>
              <w:right w:val="nil"/>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Component Weighting %</w:t>
            </w:r>
          </w:p>
        </w:tc>
        <w:tc>
          <w:tcPr>
            <w:tcW w:w="1308" w:type="dxa"/>
            <w:vMerge w:val="restart"/>
            <w:tcBorders>
              <w:top w:val="single" w:sz="4" w:space="0" w:color="FF0000"/>
              <w:left w:val="single" w:sz="4" w:space="0" w:color="FF0000"/>
              <w:bottom w:val="single" w:sz="4" w:space="0" w:color="FF0000"/>
              <w:right w:val="single" w:sz="4" w:space="0" w:color="FF0000"/>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Weighted Score</w:t>
            </w:r>
          </w:p>
        </w:tc>
        <w:tc>
          <w:tcPr>
            <w:tcW w:w="1488" w:type="dxa"/>
            <w:vMerge w:val="restart"/>
            <w:tcBorders>
              <w:top w:val="single" w:sz="4" w:space="0" w:color="auto"/>
              <w:left w:val="nil"/>
              <w:bottom w:val="nil"/>
              <w:right w:val="single" w:sz="4" w:space="0" w:color="auto"/>
            </w:tcBorders>
            <w:shd w:val="clear" w:color="000000" w:fill="DAEEF3"/>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Component Classification:         tin / silver / gold / platinum</w:t>
            </w:r>
          </w:p>
        </w:tc>
        <w:tc>
          <w:tcPr>
            <w:tcW w:w="1174" w:type="dxa"/>
            <w:tcBorders>
              <w:top w:val="nil"/>
              <w:left w:val="nil"/>
              <w:bottom w:val="single" w:sz="4"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Zero </w:t>
            </w:r>
            <w:proofErr w:type="spellStart"/>
            <w:r w:rsidRPr="00965EA1">
              <w:rPr>
                <w:rFonts w:ascii="Calibri" w:eastAsia="Times New Roman" w:hAnsi="Calibri" w:cs="Calibri"/>
                <w:color w:val="000000"/>
                <w:sz w:val="18"/>
                <w:szCs w:val="18"/>
                <w:lang w:eastAsia="en-ZA"/>
              </w:rPr>
              <w:t>Fulfillment</w:t>
            </w:r>
            <w:proofErr w:type="spellEnd"/>
          </w:p>
        </w:tc>
        <w:tc>
          <w:tcPr>
            <w:tcW w:w="1002" w:type="dxa"/>
            <w:tcBorders>
              <w:top w:val="nil"/>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Partial </w:t>
            </w:r>
            <w:proofErr w:type="spellStart"/>
            <w:r w:rsidRPr="00965EA1">
              <w:rPr>
                <w:rFonts w:ascii="Calibri" w:eastAsia="Times New Roman" w:hAnsi="Calibri" w:cs="Calibri"/>
                <w:color w:val="000000"/>
                <w:sz w:val="18"/>
                <w:szCs w:val="18"/>
                <w:lang w:eastAsia="en-ZA"/>
              </w:rPr>
              <w:t>Fulfillment</w:t>
            </w:r>
            <w:proofErr w:type="spellEnd"/>
          </w:p>
        </w:tc>
        <w:tc>
          <w:tcPr>
            <w:tcW w:w="1000" w:type="dxa"/>
            <w:tcBorders>
              <w:top w:val="nil"/>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Fulfilled</w:t>
            </w:r>
          </w:p>
        </w:tc>
        <w:tc>
          <w:tcPr>
            <w:tcW w:w="982" w:type="dxa"/>
            <w:tcBorders>
              <w:top w:val="nil"/>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Exemplary</w:t>
            </w:r>
          </w:p>
        </w:tc>
      </w:tr>
      <w:tr w:rsidR="00965EA1" w:rsidRPr="00965EA1" w:rsidTr="00965EA1">
        <w:trPr>
          <w:trHeight w:val="1215"/>
          <w:tblHeader/>
        </w:trPr>
        <w:tc>
          <w:tcPr>
            <w:tcW w:w="1843" w:type="dxa"/>
            <w:vMerge/>
            <w:tcBorders>
              <w:top w:val="single" w:sz="4" w:space="0" w:color="auto"/>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095" w:type="dxa"/>
            <w:vMerge/>
            <w:tcBorders>
              <w:top w:val="single" w:sz="4" w:space="0" w:color="auto"/>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nil"/>
              <w:right w:val="nil"/>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FF0000"/>
              <w:left w:val="single" w:sz="4" w:space="0" w:color="FF0000"/>
              <w:bottom w:val="single" w:sz="4" w:space="0" w:color="FF0000"/>
              <w:right w:val="single" w:sz="4" w:space="0" w:color="FF0000"/>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488" w:type="dxa"/>
            <w:vMerge/>
            <w:tcBorders>
              <w:top w:val="single" w:sz="4" w:space="0" w:color="auto"/>
              <w:left w:val="nil"/>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174" w:type="dxa"/>
            <w:tcBorders>
              <w:top w:val="nil"/>
              <w:left w:val="nil"/>
              <w:bottom w:val="single" w:sz="8" w:space="0" w:color="auto"/>
              <w:right w:val="nil"/>
            </w:tcBorders>
            <w:shd w:val="clear" w:color="auto" w:fill="auto"/>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 xml:space="preserve">No evidence of </w:t>
            </w:r>
            <w:proofErr w:type="spellStart"/>
            <w:r w:rsidRPr="00965EA1">
              <w:rPr>
                <w:rFonts w:ascii="Calibri" w:eastAsia="Times New Roman" w:hAnsi="Calibri" w:cs="Calibri"/>
                <w:b/>
                <w:bCs/>
                <w:color w:val="000000"/>
                <w:sz w:val="18"/>
                <w:szCs w:val="18"/>
                <w:lang w:eastAsia="en-ZA"/>
              </w:rPr>
              <w:t>fulfillment</w:t>
            </w:r>
            <w:proofErr w:type="spellEnd"/>
            <w:r w:rsidRPr="00965EA1">
              <w:rPr>
                <w:rFonts w:ascii="Calibri" w:eastAsia="Times New Roman" w:hAnsi="Calibri" w:cs="Calibri"/>
                <w:b/>
                <w:bCs/>
                <w:color w:val="000000"/>
                <w:sz w:val="18"/>
                <w:szCs w:val="18"/>
                <w:lang w:eastAsia="en-ZA"/>
              </w:rPr>
              <w:t xml:space="preserve"> of standard</w:t>
            </w:r>
          </w:p>
        </w:tc>
        <w:tc>
          <w:tcPr>
            <w:tcW w:w="1002" w:type="dxa"/>
            <w:tcBorders>
              <w:top w:val="single" w:sz="8" w:space="0" w:color="auto"/>
              <w:left w:val="single" w:sz="4" w:space="0" w:color="auto"/>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 xml:space="preserve">Tangible evidence of partial </w:t>
            </w:r>
            <w:proofErr w:type="spellStart"/>
            <w:r w:rsidRPr="00965EA1">
              <w:rPr>
                <w:rFonts w:ascii="Calibri" w:eastAsia="Times New Roman" w:hAnsi="Calibri" w:cs="Calibri"/>
                <w:b/>
                <w:bCs/>
                <w:color w:val="000000"/>
                <w:sz w:val="18"/>
                <w:szCs w:val="18"/>
                <w:lang w:eastAsia="en-ZA"/>
              </w:rPr>
              <w:t>fulfillment</w:t>
            </w:r>
            <w:proofErr w:type="spellEnd"/>
            <w:r w:rsidRPr="00965EA1">
              <w:rPr>
                <w:rFonts w:ascii="Calibri" w:eastAsia="Times New Roman" w:hAnsi="Calibri" w:cs="Calibri"/>
                <w:b/>
                <w:bCs/>
                <w:color w:val="000000"/>
                <w:sz w:val="18"/>
                <w:szCs w:val="18"/>
                <w:lang w:eastAsia="en-ZA"/>
              </w:rPr>
              <w:t xml:space="preserve"> of standard</w:t>
            </w:r>
          </w:p>
        </w:tc>
        <w:tc>
          <w:tcPr>
            <w:tcW w:w="1000" w:type="dxa"/>
            <w:tcBorders>
              <w:top w:val="single" w:sz="8" w:space="0" w:color="auto"/>
              <w:left w:val="nil"/>
              <w:bottom w:val="nil"/>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 xml:space="preserve">Tangible &amp; complete evidence of </w:t>
            </w:r>
            <w:proofErr w:type="spellStart"/>
            <w:r w:rsidRPr="00965EA1">
              <w:rPr>
                <w:rFonts w:ascii="Calibri" w:eastAsia="Times New Roman" w:hAnsi="Calibri" w:cs="Calibri"/>
                <w:b/>
                <w:bCs/>
                <w:color w:val="000000"/>
                <w:sz w:val="18"/>
                <w:szCs w:val="18"/>
                <w:lang w:eastAsia="en-ZA"/>
              </w:rPr>
              <w:t>fulfillment</w:t>
            </w:r>
            <w:proofErr w:type="spellEnd"/>
            <w:r w:rsidRPr="00965EA1">
              <w:rPr>
                <w:rFonts w:ascii="Calibri" w:eastAsia="Times New Roman" w:hAnsi="Calibri" w:cs="Calibri"/>
                <w:b/>
                <w:bCs/>
                <w:color w:val="000000"/>
                <w:sz w:val="18"/>
                <w:szCs w:val="18"/>
                <w:lang w:eastAsia="en-ZA"/>
              </w:rPr>
              <w:t xml:space="preserve"> of standard</w:t>
            </w:r>
          </w:p>
        </w:tc>
        <w:tc>
          <w:tcPr>
            <w:tcW w:w="982" w:type="dxa"/>
            <w:tcBorders>
              <w:top w:val="single" w:sz="8" w:space="0" w:color="auto"/>
              <w:left w:val="nil"/>
              <w:bottom w:val="single" w:sz="8" w:space="0" w:color="auto"/>
              <w:right w:val="single" w:sz="4" w:space="0" w:color="auto"/>
            </w:tcBorders>
            <w:shd w:val="clear" w:color="auto" w:fill="auto"/>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 xml:space="preserve">Exceeds standard </w:t>
            </w:r>
          </w:p>
        </w:tc>
      </w:tr>
      <w:tr w:rsidR="00965EA1" w:rsidRPr="00965EA1" w:rsidTr="00965EA1">
        <w:trPr>
          <w:trHeight w:val="300"/>
          <w:tblHeader/>
        </w:trPr>
        <w:tc>
          <w:tcPr>
            <w:tcW w:w="1843" w:type="dxa"/>
            <w:vMerge/>
            <w:tcBorders>
              <w:top w:val="single" w:sz="4" w:space="0" w:color="auto"/>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095" w:type="dxa"/>
            <w:vMerge/>
            <w:tcBorders>
              <w:top w:val="single" w:sz="4" w:space="0" w:color="auto"/>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auto"/>
              <w:left w:val="single" w:sz="4" w:space="0" w:color="auto"/>
              <w:bottom w:val="nil"/>
              <w:right w:val="nil"/>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308" w:type="dxa"/>
            <w:vMerge/>
            <w:tcBorders>
              <w:top w:val="single" w:sz="4" w:space="0" w:color="FF0000"/>
              <w:left w:val="single" w:sz="4" w:space="0" w:color="FF0000"/>
              <w:bottom w:val="single" w:sz="4" w:space="0" w:color="FF0000"/>
              <w:right w:val="single" w:sz="4" w:space="0" w:color="FF0000"/>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488" w:type="dxa"/>
            <w:vMerge/>
            <w:tcBorders>
              <w:top w:val="single" w:sz="4" w:space="0" w:color="auto"/>
              <w:left w:val="nil"/>
              <w:bottom w:val="nil"/>
              <w:right w:val="single" w:sz="4" w:space="0" w:color="auto"/>
            </w:tcBorders>
            <w:vAlign w:val="center"/>
            <w:hideMark/>
          </w:tcPr>
          <w:p w:rsidR="00965EA1" w:rsidRPr="00965EA1" w:rsidRDefault="00965EA1" w:rsidP="00965EA1">
            <w:pPr>
              <w:spacing w:after="0" w:line="240" w:lineRule="auto"/>
              <w:rPr>
                <w:rFonts w:ascii="Calibri" w:eastAsia="Times New Roman" w:hAnsi="Calibri" w:cs="Calibri"/>
                <w:b/>
                <w:bCs/>
                <w:color w:val="000000"/>
                <w:sz w:val="18"/>
                <w:szCs w:val="18"/>
                <w:lang w:eastAsia="en-ZA"/>
              </w:rPr>
            </w:pPr>
          </w:p>
        </w:tc>
        <w:tc>
          <w:tcPr>
            <w:tcW w:w="1174" w:type="dxa"/>
            <w:tcBorders>
              <w:top w:val="nil"/>
              <w:left w:val="nil"/>
              <w:bottom w:val="nil"/>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0</w:t>
            </w:r>
          </w:p>
        </w:tc>
        <w:tc>
          <w:tcPr>
            <w:tcW w:w="1002" w:type="dxa"/>
            <w:tcBorders>
              <w:top w:val="single" w:sz="8" w:space="0" w:color="auto"/>
              <w:left w:val="nil"/>
              <w:bottom w:val="nil"/>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1</w:t>
            </w:r>
          </w:p>
        </w:tc>
        <w:tc>
          <w:tcPr>
            <w:tcW w:w="1000" w:type="dxa"/>
            <w:tcBorders>
              <w:top w:val="single" w:sz="8" w:space="0" w:color="auto"/>
              <w:left w:val="nil"/>
              <w:bottom w:val="nil"/>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2</w:t>
            </w:r>
          </w:p>
        </w:tc>
        <w:tc>
          <w:tcPr>
            <w:tcW w:w="982" w:type="dxa"/>
            <w:tcBorders>
              <w:top w:val="nil"/>
              <w:left w:val="nil"/>
              <w:bottom w:val="nil"/>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Level 3</w:t>
            </w:r>
          </w:p>
        </w:tc>
      </w:tr>
      <w:tr w:rsidR="00965EA1" w:rsidRPr="00965EA1" w:rsidTr="00965EA1">
        <w:trPr>
          <w:trHeight w:val="240"/>
        </w:trPr>
        <w:tc>
          <w:tcPr>
            <w:tcW w:w="1843"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BEPP Preparation/ Process</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3</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9</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single" w:sz="4" w:space="0" w:color="auto"/>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5</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single" w:sz="4" w:space="0" w:color="auto"/>
              <w:left w:val="nil"/>
              <w:bottom w:val="single" w:sz="4" w:space="0" w:color="auto"/>
              <w:right w:val="single" w:sz="4" w:space="0" w:color="auto"/>
            </w:tcBorders>
            <w:shd w:val="clear" w:color="000000" w:fill="DAEEF3"/>
            <w:noWrap/>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single" w:sz="4" w:space="0" w:color="auto"/>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1 - 3</w:t>
            </w:r>
          </w:p>
        </w:tc>
        <w:tc>
          <w:tcPr>
            <w:tcW w:w="1000" w:type="dxa"/>
            <w:tcBorders>
              <w:top w:val="single" w:sz="4" w:space="0" w:color="auto"/>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4 - 6</w:t>
            </w:r>
          </w:p>
        </w:tc>
        <w:tc>
          <w:tcPr>
            <w:tcW w:w="982" w:type="dxa"/>
            <w:tcBorders>
              <w:top w:val="single" w:sz="4" w:space="0" w:color="auto"/>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7 - 9</w:t>
            </w:r>
          </w:p>
        </w:tc>
      </w:tr>
      <w:tr w:rsidR="00965EA1" w:rsidRPr="00965EA1" w:rsidTr="00965EA1">
        <w:trPr>
          <w:trHeight w:val="300"/>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Section A: Introduction</w:t>
            </w:r>
          </w:p>
        </w:tc>
        <w:tc>
          <w:tcPr>
            <w:tcW w:w="1095"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4</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12</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3</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1 - 5 </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6 - 9</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10 - 12</w:t>
            </w:r>
          </w:p>
        </w:tc>
      </w:tr>
      <w:tr w:rsidR="00965EA1" w:rsidRPr="00965EA1" w:rsidTr="00965EA1">
        <w:trPr>
          <w:trHeight w:val="495"/>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Section B: Spatial Planning and Targeting</w:t>
            </w:r>
          </w:p>
        </w:tc>
        <w:tc>
          <w:tcPr>
            <w:tcW w:w="1095"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22</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66</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15</w:t>
            </w:r>
          </w:p>
        </w:tc>
        <w:tc>
          <w:tcPr>
            <w:tcW w:w="1308" w:type="dxa"/>
            <w:tcBorders>
              <w:top w:val="nil"/>
              <w:left w:val="nil"/>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1 - 24</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25 - 50</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51 - 66</w:t>
            </w:r>
          </w:p>
        </w:tc>
      </w:tr>
      <w:tr w:rsidR="00965EA1" w:rsidRPr="00965EA1" w:rsidTr="00965EA1">
        <w:trPr>
          <w:trHeight w:val="735"/>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Section C: Catalytic Urban Development Programme &amp; Preparation</w:t>
            </w:r>
          </w:p>
        </w:tc>
        <w:tc>
          <w:tcPr>
            <w:tcW w:w="1095"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9</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27</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30</w:t>
            </w:r>
          </w:p>
        </w:tc>
        <w:tc>
          <w:tcPr>
            <w:tcW w:w="1308" w:type="dxa"/>
            <w:tcBorders>
              <w:top w:val="nil"/>
              <w:left w:val="nil"/>
              <w:bottom w:val="nil"/>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1 - 10</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11 - 21</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22 - 27</w:t>
            </w:r>
          </w:p>
        </w:tc>
      </w:tr>
      <w:tr w:rsidR="00965EA1" w:rsidRPr="00965EA1" w:rsidTr="00965EA1">
        <w:trPr>
          <w:trHeight w:val="735"/>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Section D: Catalytic Urban Development Programme Resourcing</w:t>
            </w:r>
          </w:p>
        </w:tc>
        <w:tc>
          <w:tcPr>
            <w:tcW w:w="1095" w:type="dxa"/>
            <w:tcBorders>
              <w:top w:val="nil"/>
              <w:left w:val="single" w:sz="4" w:space="0" w:color="FF0000"/>
              <w:bottom w:val="nil"/>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7</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21</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20</w:t>
            </w:r>
          </w:p>
        </w:tc>
        <w:tc>
          <w:tcPr>
            <w:tcW w:w="1308" w:type="dxa"/>
            <w:tcBorders>
              <w:top w:val="single" w:sz="4" w:space="0" w:color="FF0000"/>
              <w:left w:val="nil"/>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1 - 7</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8 - 16</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17 - 21</w:t>
            </w:r>
          </w:p>
        </w:tc>
      </w:tr>
      <w:tr w:rsidR="00965EA1" w:rsidRPr="00965EA1" w:rsidTr="00965EA1">
        <w:trPr>
          <w:trHeight w:val="300"/>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Section E: Implementation</w:t>
            </w:r>
          </w:p>
        </w:tc>
        <w:tc>
          <w:tcPr>
            <w:tcW w:w="1095" w:type="dxa"/>
            <w:tcBorders>
              <w:top w:val="single" w:sz="4" w:space="0" w:color="FF0000"/>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8</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24</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15</w:t>
            </w:r>
          </w:p>
        </w:tc>
        <w:tc>
          <w:tcPr>
            <w:tcW w:w="1308" w:type="dxa"/>
            <w:tcBorders>
              <w:top w:val="nil"/>
              <w:left w:val="nil"/>
              <w:bottom w:val="nil"/>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1 - 9</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10 - 18</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19 - 24</w:t>
            </w:r>
          </w:p>
        </w:tc>
      </w:tr>
      <w:tr w:rsidR="00965EA1" w:rsidRPr="00965EA1" w:rsidTr="00965EA1">
        <w:trPr>
          <w:trHeight w:val="300"/>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Section F: Urban Management</w:t>
            </w:r>
          </w:p>
        </w:tc>
        <w:tc>
          <w:tcPr>
            <w:tcW w:w="1095"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3</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9</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5</w:t>
            </w:r>
          </w:p>
        </w:tc>
        <w:tc>
          <w:tcPr>
            <w:tcW w:w="1308" w:type="dxa"/>
            <w:tcBorders>
              <w:top w:val="single" w:sz="4" w:space="0" w:color="FF0000"/>
              <w:left w:val="nil"/>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1 - 3</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4 - 6</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7 - 9</w:t>
            </w:r>
          </w:p>
        </w:tc>
      </w:tr>
      <w:tr w:rsidR="00965EA1" w:rsidRPr="00965EA1" w:rsidTr="00965EA1">
        <w:trPr>
          <w:trHeight w:val="495"/>
        </w:trPr>
        <w:tc>
          <w:tcPr>
            <w:tcW w:w="1843" w:type="dxa"/>
            <w:tcBorders>
              <w:top w:val="nil"/>
              <w:left w:val="single" w:sz="4" w:space="0" w:color="auto"/>
              <w:bottom w:val="single" w:sz="4" w:space="0" w:color="auto"/>
              <w:right w:val="nil"/>
            </w:tcBorders>
            <w:shd w:val="clear" w:color="000000" w:fill="DAEEF3"/>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lastRenderedPageBreak/>
              <w:t>Section G: Reporting &amp; Evaluation</w:t>
            </w:r>
          </w:p>
        </w:tc>
        <w:tc>
          <w:tcPr>
            <w:tcW w:w="1095"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4</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12</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5</w:t>
            </w:r>
          </w:p>
        </w:tc>
        <w:tc>
          <w:tcPr>
            <w:tcW w:w="1308" w:type="dxa"/>
            <w:tcBorders>
              <w:top w:val="nil"/>
              <w:left w:val="nil"/>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 xml:space="preserve">1 - 5 </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6 - 9</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10 - 12</w:t>
            </w:r>
          </w:p>
        </w:tc>
      </w:tr>
      <w:tr w:rsidR="00965EA1" w:rsidRPr="00965EA1" w:rsidTr="00965EA1">
        <w:trPr>
          <w:trHeight w:val="240"/>
        </w:trPr>
        <w:tc>
          <w:tcPr>
            <w:tcW w:w="1843" w:type="dxa"/>
            <w:tcBorders>
              <w:top w:val="nil"/>
              <w:left w:val="nil"/>
              <w:bottom w:val="nil"/>
              <w:right w:val="nil"/>
            </w:tcBorders>
            <w:shd w:val="clear" w:color="000000" w:fill="92D050"/>
            <w:vAlign w:val="bottom"/>
            <w:hideMark/>
          </w:tcPr>
          <w:p w:rsidR="00965EA1" w:rsidRPr="00965EA1" w:rsidRDefault="00965EA1" w:rsidP="00965EA1">
            <w:pPr>
              <w:spacing w:after="0" w:line="240" w:lineRule="auto"/>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BEPP Support</w:t>
            </w:r>
          </w:p>
        </w:tc>
        <w:tc>
          <w:tcPr>
            <w:tcW w:w="1095"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30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w:t>
            </w:r>
          </w:p>
        </w:tc>
        <w:tc>
          <w:tcPr>
            <w:tcW w:w="1308" w:type="dxa"/>
            <w:tcBorders>
              <w:top w:val="nil"/>
              <w:left w:val="single" w:sz="4" w:space="0" w:color="FF0000"/>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6</w:t>
            </w:r>
          </w:p>
        </w:tc>
        <w:tc>
          <w:tcPr>
            <w:tcW w:w="1308" w:type="dxa"/>
            <w:tcBorders>
              <w:top w:val="nil"/>
              <w:left w:val="single" w:sz="4" w:space="0" w:color="auto"/>
              <w:bottom w:val="single" w:sz="4" w:space="0" w:color="auto"/>
              <w:right w:val="nil"/>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308" w:type="dxa"/>
            <w:tcBorders>
              <w:top w:val="nil"/>
              <w:left w:val="single" w:sz="4" w:space="0" w:color="auto"/>
              <w:bottom w:val="single" w:sz="4" w:space="0" w:color="auto"/>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2</w:t>
            </w:r>
          </w:p>
        </w:tc>
        <w:tc>
          <w:tcPr>
            <w:tcW w:w="1308" w:type="dxa"/>
            <w:tcBorders>
              <w:top w:val="nil"/>
              <w:left w:val="nil"/>
              <w:bottom w:val="single" w:sz="4" w:space="0" w:color="FF0000"/>
              <w:right w:val="single" w:sz="4" w:space="0" w:color="FF0000"/>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0.0</w:t>
            </w:r>
          </w:p>
        </w:tc>
        <w:tc>
          <w:tcPr>
            <w:tcW w:w="1488" w:type="dxa"/>
            <w:tcBorders>
              <w:top w:val="nil"/>
              <w:left w:val="nil"/>
              <w:bottom w:val="single" w:sz="4" w:space="0" w:color="auto"/>
              <w:right w:val="single" w:sz="4" w:space="0" w:color="auto"/>
            </w:tcBorders>
            <w:shd w:val="clear" w:color="auto" w:fill="auto"/>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1 - 2</w:t>
            </w:r>
          </w:p>
        </w:tc>
        <w:tc>
          <w:tcPr>
            <w:tcW w:w="1000"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3 - 4</w:t>
            </w:r>
          </w:p>
        </w:tc>
        <w:tc>
          <w:tcPr>
            <w:tcW w:w="982" w:type="dxa"/>
            <w:tcBorders>
              <w:top w:val="nil"/>
              <w:left w:val="nil"/>
              <w:bottom w:val="single" w:sz="4" w:space="0" w:color="auto"/>
              <w:right w:val="single" w:sz="4" w:space="0" w:color="auto"/>
            </w:tcBorders>
            <w:shd w:val="clear" w:color="000000" w:fill="DAEEF3"/>
            <w:noWrap/>
            <w:vAlign w:val="bottom"/>
            <w:hideMark/>
          </w:tcPr>
          <w:p w:rsidR="00965EA1" w:rsidRPr="00965EA1" w:rsidRDefault="00965EA1" w:rsidP="00965EA1">
            <w:pPr>
              <w:spacing w:after="0" w:line="240" w:lineRule="auto"/>
              <w:jc w:val="center"/>
              <w:rPr>
                <w:rFonts w:ascii="Calibri" w:eastAsia="Times New Roman" w:hAnsi="Calibri" w:cs="Calibri"/>
                <w:color w:val="000000"/>
                <w:sz w:val="18"/>
                <w:szCs w:val="18"/>
                <w:lang w:eastAsia="en-ZA"/>
              </w:rPr>
            </w:pPr>
            <w:r w:rsidRPr="00965EA1">
              <w:rPr>
                <w:rFonts w:ascii="Calibri" w:eastAsia="Times New Roman" w:hAnsi="Calibri" w:cs="Calibri"/>
                <w:color w:val="000000"/>
                <w:sz w:val="18"/>
                <w:szCs w:val="18"/>
                <w:lang w:eastAsia="en-ZA"/>
              </w:rPr>
              <w:t>5 - 6</w:t>
            </w:r>
          </w:p>
        </w:tc>
      </w:tr>
      <w:tr w:rsidR="00965EA1" w:rsidRPr="00965EA1" w:rsidTr="00965EA1">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92CDDC"/>
            <w:vAlign w:val="bottom"/>
            <w:hideMark/>
          </w:tcPr>
          <w:p w:rsidR="00965EA1" w:rsidRPr="00965EA1" w:rsidRDefault="00965EA1" w:rsidP="00965EA1">
            <w:pPr>
              <w:spacing w:after="0" w:line="240" w:lineRule="auto"/>
              <w:jc w:val="right"/>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Total Score</w:t>
            </w:r>
          </w:p>
        </w:tc>
        <w:tc>
          <w:tcPr>
            <w:tcW w:w="1095"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0</w:t>
            </w:r>
          </w:p>
        </w:tc>
        <w:tc>
          <w:tcPr>
            <w:tcW w:w="1308"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62</w:t>
            </w:r>
          </w:p>
        </w:tc>
        <w:tc>
          <w:tcPr>
            <w:tcW w:w="1308" w:type="dxa"/>
            <w:tcBorders>
              <w:top w:val="single" w:sz="4" w:space="0" w:color="auto"/>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186</w:t>
            </w:r>
          </w:p>
        </w:tc>
        <w:tc>
          <w:tcPr>
            <w:tcW w:w="1308"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0.0%</w:t>
            </w:r>
          </w:p>
        </w:tc>
        <w:tc>
          <w:tcPr>
            <w:tcW w:w="1308"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100</w:t>
            </w:r>
          </w:p>
        </w:tc>
        <w:tc>
          <w:tcPr>
            <w:tcW w:w="1308"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0.0</w:t>
            </w:r>
          </w:p>
        </w:tc>
        <w:tc>
          <w:tcPr>
            <w:tcW w:w="1488"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tin</w:t>
            </w:r>
          </w:p>
        </w:tc>
        <w:tc>
          <w:tcPr>
            <w:tcW w:w="1174"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0</w:t>
            </w:r>
          </w:p>
        </w:tc>
        <w:tc>
          <w:tcPr>
            <w:tcW w:w="1002"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1 - 40</w:t>
            </w:r>
          </w:p>
        </w:tc>
        <w:tc>
          <w:tcPr>
            <w:tcW w:w="1000"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41 - 69</w:t>
            </w:r>
          </w:p>
        </w:tc>
        <w:tc>
          <w:tcPr>
            <w:tcW w:w="982" w:type="dxa"/>
            <w:tcBorders>
              <w:top w:val="nil"/>
              <w:left w:val="nil"/>
              <w:bottom w:val="single" w:sz="4" w:space="0" w:color="auto"/>
              <w:right w:val="single" w:sz="4" w:space="0" w:color="auto"/>
            </w:tcBorders>
            <w:shd w:val="clear" w:color="000000" w:fill="92CDDC"/>
            <w:noWrap/>
            <w:vAlign w:val="bottom"/>
            <w:hideMark/>
          </w:tcPr>
          <w:p w:rsidR="00965EA1" w:rsidRPr="00965EA1" w:rsidRDefault="00965EA1" w:rsidP="00965EA1">
            <w:pPr>
              <w:spacing w:after="0" w:line="240" w:lineRule="auto"/>
              <w:jc w:val="center"/>
              <w:rPr>
                <w:rFonts w:ascii="Calibri" w:eastAsia="Times New Roman" w:hAnsi="Calibri" w:cs="Calibri"/>
                <w:b/>
                <w:bCs/>
                <w:color w:val="000000"/>
                <w:sz w:val="18"/>
                <w:szCs w:val="18"/>
                <w:lang w:eastAsia="en-ZA"/>
              </w:rPr>
            </w:pPr>
            <w:r w:rsidRPr="00965EA1">
              <w:rPr>
                <w:rFonts w:ascii="Calibri" w:eastAsia="Times New Roman" w:hAnsi="Calibri" w:cs="Calibri"/>
                <w:b/>
                <w:bCs/>
                <w:color w:val="000000"/>
                <w:sz w:val="18"/>
                <w:szCs w:val="18"/>
                <w:lang w:eastAsia="en-ZA"/>
              </w:rPr>
              <w:t>70 - 100</w:t>
            </w:r>
          </w:p>
        </w:tc>
      </w:tr>
    </w:tbl>
    <w:p w:rsidR="00965EA1" w:rsidRDefault="00965EA1" w:rsidP="00AA2470">
      <w:pPr>
        <w:rPr>
          <w:rFonts w:ascii="Arial" w:hAnsi="Arial" w:cs="Arial"/>
          <w:sz w:val="18"/>
          <w:szCs w:val="18"/>
        </w:rPr>
      </w:pPr>
    </w:p>
    <w:p w:rsidR="00965EA1" w:rsidRPr="00AA2470" w:rsidRDefault="00965EA1" w:rsidP="00AA2470">
      <w:pPr>
        <w:rPr>
          <w:rFonts w:ascii="Arial" w:hAnsi="Arial" w:cs="Arial"/>
          <w:sz w:val="18"/>
          <w:szCs w:val="18"/>
        </w:rPr>
      </w:pPr>
    </w:p>
    <w:sectPr w:rsidR="00965EA1" w:rsidRPr="00AA2470" w:rsidSect="00AA24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F42"/>
    <w:multiLevelType w:val="hybridMultilevel"/>
    <w:tmpl w:val="C4322A5E"/>
    <w:lvl w:ilvl="0" w:tplc="194E22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70"/>
    <w:rsid w:val="00004F36"/>
    <w:rsid w:val="0003212A"/>
    <w:rsid w:val="00094874"/>
    <w:rsid w:val="000E3B88"/>
    <w:rsid w:val="000F1CFE"/>
    <w:rsid w:val="001C52DF"/>
    <w:rsid w:val="001D35C3"/>
    <w:rsid w:val="00225FE7"/>
    <w:rsid w:val="00265757"/>
    <w:rsid w:val="002832F6"/>
    <w:rsid w:val="002E5704"/>
    <w:rsid w:val="00311B2E"/>
    <w:rsid w:val="00411562"/>
    <w:rsid w:val="0048744C"/>
    <w:rsid w:val="004C6B5F"/>
    <w:rsid w:val="00507F61"/>
    <w:rsid w:val="00542C77"/>
    <w:rsid w:val="005804B6"/>
    <w:rsid w:val="005C0C6D"/>
    <w:rsid w:val="005F333F"/>
    <w:rsid w:val="006F2866"/>
    <w:rsid w:val="0071004B"/>
    <w:rsid w:val="00761811"/>
    <w:rsid w:val="007E7450"/>
    <w:rsid w:val="008344AF"/>
    <w:rsid w:val="008A53BC"/>
    <w:rsid w:val="008F0EF3"/>
    <w:rsid w:val="008F519B"/>
    <w:rsid w:val="00940498"/>
    <w:rsid w:val="00965EA1"/>
    <w:rsid w:val="009C40B9"/>
    <w:rsid w:val="00A81C8A"/>
    <w:rsid w:val="00A95558"/>
    <w:rsid w:val="00AA2470"/>
    <w:rsid w:val="00AA2D57"/>
    <w:rsid w:val="00AE447B"/>
    <w:rsid w:val="00BB176F"/>
    <w:rsid w:val="00C20403"/>
    <w:rsid w:val="00C93998"/>
    <w:rsid w:val="00C93E31"/>
    <w:rsid w:val="00CD1B56"/>
    <w:rsid w:val="00CF0FCE"/>
    <w:rsid w:val="00D71C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EDF4"/>
  <w15:chartTrackingRefBased/>
  <w15:docId w15:val="{88D80CB9-06B4-428E-A688-86897E58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3543">
      <w:bodyDiv w:val="1"/>
      <w:marLeft w:val="0"/>
      <w:marRight w:val="0"/>
      <w:marTop w:val="0"/>
      <w:marBottom w:val="0"/>
      <w:divBdr>
        <w:top w:val="none" w:sz="0" w:space="0" w:color="auto"/>
        <w:left w:val="none" w:sz="0" w:space="0" w:color="auto"/>
        <w:bottom w:val="none" w:sz="0" w:space="0" w:color="auto"/>
        <w:right w:val="none" w:sz="0" w:space="0" w:color="auto"/>
      </w:divBdr>
    </w:div>
    <w:div w:id="315957596">
      <w:bodyDiv w:val="1"/>
      <w:marLeft w:val="0"/>
      <w:marRight w:val="0"/>
      <w:marTop w:val="0"/>
      <w:marBottom w:val="0"/>
      <w:divBdr>
        <w:top w:val="none" w:sz="0" w:space="0" w:color="auto"/>
        <w:left w:val="none" w:sz="0" w:space="0" w:color="auto"/>
        <w:bottom w:val="none" w:sz="0" w:space="0" w:color="auto"/>
        <w:right w:val="none" w:sz="0" w:space="0" w:color="auto"/>
      </w:divBdr>
    </w:div>
    <w:div w:id="816646347">
      <w:bodyDiv w:val="1"/>
      <w:marLeft w:val="0"/>
      <w:marRight w:val="0"/>
      <w:marTop w:val="0"/>
      <w:marBottom w:val="0"/>
      <w:divBdr>
        <w:top w:val="none" w:sz="0" w:space="0" w:color="auto"/>
        <w:left w:val="none" w:sz="0" w:space="0" w:color="auto"/>
        <w:bottom w:val="none" w:sz="0" w:space="0" w:color="auto"/>
        <w:right w:val="none" w:sz="0" w:space="0" w:color="auto"/>
      </w:divBdr>
    </w:div>
    <w:div w:id="854268471">
      <w:bodyDiv w:val="1"/>
      <w:marLeft w:val="0"/>
      <w:marRight w:val="0"/>
      <w:marTop w:val="0"/>
      <w:marBottom w:val="0"/>
      <w:divBdr>
        <w:top w:val="none" w:sz="0" w:space="0" w:color="auto"/>
        <w:left w:val="none" w:sz="0" w:space="0" w:color="auto"/>
        <w:bottom w:val="none" w:sz="0" w:space="0" w:color="auto"/>
        <w:right w:val="none" w:sz="0" w:space="0" w:color="auto"/>
      </w:divBdr>
    </w:div>
    <w:div w:id="856456766">
      <w:bodyDiv w:val="1"/>
      <w:marLeft w:val="0"/>
      <w:marRight w:val="0"/>
      <w:marTop w:val="0"/>
      <w:marBottom w:val="0"/>
      <w:divBdr>
        <w:top w:val="none" w:sz="0" w:space="0" w:color="auto"/>
        <w:left w:val="none" w:sz="0" w:space="0" w:color="auto"/>
        <w:bottom w:val="none" w:sz="0" w:space="0" w:color="auto"/>
        <w:right w:val="none" w:sz="0" w:space="0" w:color="auto"/>
      </w:divBdr>
    </w:div>
    <w:div w:id="961228964">
      <w:bodyDiv w:val="1"/>
      <w:marLeft w:val="0"/>
      <w:marRight w:val="0"/>
      <w:marTop w:val="0"/>
      <w:marBottom w:val="0"/>
      <w:divBdr>
        <w:top w:val="none" w:sz="0" w:space="0" w:color="auto"/>
        <w:left w:val="none" w:sz="0" w:space="0" w:color="auto"/>
        <w:bottom w:val="none" w:sz="0" w:space="0" w:color="auto"/>
        <w:right w:val="none" w:sz="0" w:space="0" w:color="auto"/>
      </w:divBdr>
    </w:div>
    <w:div w:id="1350791453">
      <w:bodyDiv w:val="1"/>
      <w:marLeft w:val="0"/>
      <w:marRight w:val="0"/>
      <w:marTop w:val="0"/>
      <w:marBottom w:val="0"/>
      <w:divBdr>
        <w:top w:val="none" w:sz="0" w:space="0" w:color="auto"/>
        <w:left w:val="none" w:sz="0" w:space="0" w:color="auto"/>
        <w:bottom w:val="none" w:sz="0" w:space="0" w:color="auto"/>
        <w:right w:val="none" w:sz="0" w:space="0" w:color="auto"/>
      </w:divBdr>
    </w:div>
    <w:div w:id="1487043855">
      <w:bodyDiv w:val="1"/>
      <w:marLeft w:val="0"/>
      <w:marRight w:val="0"/>
      <w:marTop w:val="0"/>
      <w:marBottom w:val="0"/>
      <w:divBdr>
        <w:top w:val="none" w:sz="0" w:space="0" w:color="auto"/>
        <w:left w:val="none" w:sz="0" w:space="0" w:color="auto"/>
        <w:bottom w:val="none" w:sz="0" w:space="0" w:color="auto"/>
        <w:right w:val="none" w:sz="0" w:space="0" w:color="auto"/>
      </w:divBdr>
    </w:div>
    <w:div w:id="1493252203">
      <w:bodyDiv w:val="1"/>
      <w:marLeft w:val="0"/>
      <w:marRight w:val="0"/>
      <w:marTop w:val="0"/>
      <w:marBottom w:val="0"/>
      <w:divBdr>
        <w:top w:val="none" w:sz="0" w:space="0" w:color="auto"/>
        <w:left w:val="none" w:sz="0" w:space="0" w:color="auto"/>
        <w:bottom w:val="none" w:sz="0" w:space="0" w:color="auto"/>
        <w:right w:val="none" w:sz="0" w:space="0" w:color="auto"/>
      </w:divBdr>
    </w:div>
    <w:div w:id="16470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680F9-EAEC-42DD-A095-0508DD8B4F43}"/>
</file>

<file path=customXml/itemProps2.xml><?xml version="1.0" encoding="utf-8"?>
<ds:datastoreItem xmlns:ds="http://schemas.openxmlformats.org/officeDocument/2006/customXml" ds:itemID="{FC586FAD-9BA1-47E3-B262-80B8E6C7B52E}"/>
</file>

<file path=customXml/itemProps3.xml><?xml version="1.0" encoding="utf-8"?>
<ds:datastoreItem xmlns:ds="http://schemas.openxmlformats.org/officeDocument/2006/customXml" ds:itemID="{6F3260C2-6F57-4C19-9E11-EDFBCECBFCAD}"/>
</file>

<file path=docProps/app.xml><?xml version="1.0" encoding="utf-8"?>
<Properties xmlns="http://schemas.openxmlformats.org/officeDocument/2006/extended-properties" xmlns:vt="http://schemas.openxmlformats.org/officeDocument/2006/docPropsVTypes">
  <Template>Normal</Template>
  <TotalTime>22</TotalTime>
  <Pages>27</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jwait</dc:creator>
  <cp:keywords/>
  <dc:description/>
  <cp:lastModifiedBy>jwait</cp:lastModifiedBy>
  <cp:revision>7</cp:revision>
  <dcterms:created xsi:type="dcterms:W3CDTF">2018-03-02T12:28:00Z</dcterms:created>
  <dcterms:modified xsi:type="dcterms:W3CDTF">2018-03-02T12:52:00Z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